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527" w:rsidRDefault="00A71527" w:rsidP="00E76991">
      <w:pPr>
        <w:jc w:val="center"/>
        <w:rPr>
          <w:b/>
          <w:bCs/>
          <w:sz w:val="24"/>
          <w:u w:val="single"/>
        </w:rPr>
      </w:pPr>
      <w:bookmarkStart w:id="0" w:name="_GoBack"/>
      <w:bookmarkEnd w:id="0"/>
    </w:p>
    <w:p w:rsidR="006E7498" w:rsidRPr="00E76991" w:rsidRDefault="006E7498" w:rsidP="00E76991">
      <w:pPr>
        <w:jc w:val="center"/>
        <w:rPr>
          <w:b/>
          <w:bCs/>
          <w:sz w:val="24"/>
          <w:u w:val="single"/>
        </w:rPr>
      </w:pPr>
      <w:r w:rsidRPr="00E76991">
        <w:rPr>
          <w:b/>
          <w:bCs/>
          <w:sz w:val="24"/>
          <w:u w:val="single"/>
        </w:rPr>
        <w:t>National Grid Gas Distribution</w:t>
      </w:r>
      <w:r w:rsidR="00FD3F91">
        <w:rPr>
          <w:b/>
          <w:bCs/>
          <w:sz w:val="24"/>
          <w:u w:val="single"/>
        </w:rPr>
        <w:t xml:space="preserve"> - Briefing Note 21</w:t>
      </w:r>
    </w:p>
    <w:p w:rsidR="006E7498" w:rsidRPr="00E76991" w:rsidRDefault="006E7498" w:rsidP="00E76991">
      <w:pPr>
        <w:jc w:val="center"/>
        <w:rPr>
          <w:b/>
          <w:bCs/>
          <w:sz w:val="24"/>
          <w:u w:val="single"/>
        </w:rPr>
      </w:pPr>
    </w:p>
    <w:p w:rsidR="00016F7C" w:rsidRDefault="00B5757C" w:rsidP="00E76991">
      <w:pPr>
        <w:jc w:val="center"/>
        <w:rPr>
          <w:b/>
          <w:bCs/>
          <w:sz w:val="24"/>
          <w:u w:val="single"/>
        </w:rPr>
      </w:pPr>
      <w:r>
        <w:rPr>
          <w:b/>
          <w:bCs/>
          <w:sz w:val="24"/>
          <w:u w:val="single"/>
        </w:rPr>
        <w:t xml:space="preserve">Completion File Performance </w:t>
      </w:r>
      <w:r w:rsidR="006F23A0">
        <w:rPr>
          <w:b/>
          <w:bCs/>
          <w:sz w:val="24"/>
          <w:u w:val="single"/>
        </w:rPr>
        <w:t xml:space="preserve">Policy </w:t>
      </w:r>
      <w:r w:rsidR="005C5BCB">
        <w:rPr>
          <w:b/>
          <w:bCs/>
          <w:sz w:val="24"/>
          <w:u w:val="single"/>
        </w:rPr>
        <w:t xml:space="preserve">and </w:t>
      </w:r>
      <w:r w:rsidR="006F23A0">
        <w:rPr>
          <w:b/>
          <w:bCs/>
          <w:sz w:val="24"/>
          <w:u w:val="single"/>
        </w:rPr>
        <w:t>Management Process</w:t>
      </w:r>
    </w:p>
    <w:p w:rsidR="00CD7E9F" w:rsidRDefault="00CD7E9F" w:rsidP="00E76991">
      <w:pPr>
        <w:jc w:val="center"/>
        <w:rPr>
          <w:b/>
          <w:bCs/>
          <w:sz w:val="24"/>
          <w:u w:val="single"/>
        </w:rPr>
      </w:pPr>
    </w:p>
    <w:tbl>
      <w:tblPr>
        <w:tblStyle w:val="TableGrid"/>
        <w:tblW w:w="5000" w:type="pct"/>
        <w:tblLook w:val="04A0" w:firstRow="1" w:lastRow="0" w:firstColumn="1" w:lastColumn="0" w:noHBand="0" w:noVBand="1"/>
      </w:tblPr>
      <w:tblGrid>
        <w:gridCol w:w="9243"/>
      </w:tblGrid>
      <w:tr w:rsidR="00CD7E9F" w:rsidTr="00787C39">
        <w:trPr>
          <w:trHeight w:val="449"/>
        </w:trPr>
        <w:tc>
          <w:tcPr>
            <w:tcW w:w="5000" w:type="pct"/>
          </w:tcPr>
          <w:p w:rsidR="00CD7E9F" w:rsidRDefault="00CD7E9F" w:rsidP="00787C39">
            <w:pPr>
              <w:rPr>
                <w:b/>
                <w:bCs/>
                <w:sz w:val="24"/>
                <w:u w:val="single"/>
              </w:rPr>
            </w:pPr>
            <w:r>
              <w:rPr>
                <w:b/>
                <w:bCs/>
                <w:sz w:val="24"/>
                <w:u w:val="single"/>
              </w:rPr>
              <w:t>Addendum 05/08/15</w:t>
            </w:r>
          </w:p>
        </w:tc>
      </w:tr>
      <w:tr w:rsidR="00CD7E9F" w:rsidRPr="00A01E00" w:rsidTr="00787C39">
        <w:trPr>
          <w:trHeight w:val="1587"/>
        </w:trPr>
        <w:tc>
          <w:tcPr>
            <w:tcW w:w="5000" w:type="pct"/>
          </w:tcPr>
          <w:p w:rsidR="00CD7E9F" w:rsidRDefault="00CD7E9F" w:rsidP="00787C39"/>
          <w:p w:rsidR="00CD7E9F" w:rsidRPr="00A01E00" w:rsidRDefault="00CD7E9F" w:rsidP="00787C39">
            <w:r>
              <w:t>‘</w:t>
            </w:r>
            <w:r w:rsidRPr="00A01E00">
              <w:t>Major unauthorised connections</w:t>
            </w:r>
            <w:r>
              <w:t>’ will no longer be included as part of this completion files performance monitoring process.  Instead, these will be included as part of the Customer Performance Data, sent by Network Strategy, which will resume week commencing 10/08/15.</w:t>
            </w:r>
          </w:p>
        </w:tc>
      </w:tr>
    </w:tbl>
    <w:p w:rsidR="00CD7E9F" w:rsidRDefault="00CD7E9F" w:rsidP="00E76991">
      <w:pPr>
        <w:jc w:val="center"/>
      </w:pPr>
    </w:p>
    <w:p w:rsidR="00A71527" w:rsidRDefault="00A71527" w:rsidP="00F5628A"/>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750E68" w:rsidTr="004829C1">
        <w:tc>
          <w:tcPr>
            <w:tcW w:w="9394" w:type="dxa"/>
            <w:shd w:val="clear" w:color="auto" w:fill="0079C1"/>
          </w:tcPr>
          <w:p w:rsidR="00B261F0" w:rsidRPr="0068079E" w:rsidRDefault="00B261F0" w:rsidP="00822CBB">
            <w:pPr>
              <w:rPr>
                <w:b/>
                <w:bCs/>
                <w:color w:val="FFFFFF"/>
                <w:u w:val="single"/>
              </w:rPr>
            </w:pPr>
          </w:p>
          <w:p w:rsidR="00750E68" w:rsidRPr="00BF301C" w:rsidRDefault="00B5757C" w:rsidP="00BF301C">
            <w:pPr>
              <w:pStyle w:val="ListParagraph"/>
              <w:numPr>
                <w:ilvl w:val="0"/>
                <w:numId w:val="9"/>
              </w:numPr>
              <w:rPr>
                <w:b/>
                <w:bCs/>
                <w:color w:val="FFFFFF"/>
                <w:u w:val="single"/>
              </w:rPr>
            </w:pPr>
            <w:r w:rsidRPr="00BF301C">
              <w:rPr>
                <w:b/>
                <w:bCs/>
                <w:color w:val="FFFFFF"/>
                <w:u w:val="single"/>
              </w:rPr>
              <w:t>Introduction</w:t>
            </w:r>
          </w:p>
          <w:p w:rsidR="00B261F0" w:rsidRPr="0068079E" w:rsidRDefault="00B261F0" w:rsidP="00822CBB">
            <w:pPr>
              <w:rPr>
                <w:b/>
                <w:bCs/>
                <w:color w:val="FFFFFF"/>
                <w:u w:val="single"/>
              </w:rPr>
            </w:pPr>
          </w:p>
        </w:tc>
      </w:tr>
      <w:tr w:rsidR="00750E68" w:rsidTr="004829C1">
        <w:tc>
          <w:tcPr>
            <w:tcW w:w="9394" w:type="dxa"/>
            <w:tcBorders>
              <w:bottom w:val="single" w:sz="4" w:space="0" w:color="auto"/>
            </w:tcBorders>
            <w:shd w:val="clear" w:color="auto" w:fill="auto"/>
          </w:tcPr>
          <w:p w:rsidR="00750E68" w:rsidRDefault="00750E68" w:rsidP="0068079E">
            <w:pPr>
              <w:jc w:val="both"/>
            </w:pPr>
          </w:p>
          <w:p w:rsidR="00743844" w:rsidRDefault="00934D81" w:rsidP="0068079E">
            <w:pPr>
              <w:jc w:val="both"/>
            </w:pPr>
            <w:r>
              <w:t xml:space="preserve">To facilitate competition in the gas industry, </w:t>
            </w:r>
            <w:r w:rsidR="00743844">
              <w:t>National Grid allows Utility Infrastructure Providers (UIPs) and Independent Gas Transporters (IGTs) t</w:t>
            </w:r>
            <w:r w:rsidR="00B5757C">
              <w:t xml:space="preserve">o perform </w:t>
            </w:r>
            <w:r w:rsidR="00743844">
              <w:t>works</w:t>
            </w:r>
            <w:r w:rsidR="00B5757C">
              <w:t xml:space="preserve"> on </w:t>
            </w:r>
            <w:r w:rsidR="00743844">
              <w:t>National Grid</w:t>
            </w:r>
            <w:r>
              <w:t>’s</w:t>
            </w:r>
            <w:r w:rsidR="00B5757C">
              <w:t xml:space="preserve"> network,</w:t>
            </w:r>
            <w:r w:rsidR="00743844">
              <w:t xml:space="preserve"> including the final connection on to National Grid’s parent main</w:t>
            </w:r>
            <w:r>
              <w:t>, if they are signatories of the ‘UIP Connection, Service Disconnection &amp; Service Alteration Agreement’ or ‘Inter-Gas Transporter Connection Agreement’.</w:t>
            </w:r>
          </w:p>
          <w:p w:rsidR="00934D81" w:rsidRDefault="00934D81" w:rsidP="0068079E">
            <w:pPr>
              <w:jc w:val="both"/>
            </w:pPr>
          </w:p>
          <w:p w:rsidR="000E29BB" w:rsidRDefault="00934D81" w:rsidP="0068079E">
            <w:pPr>
              <w:jc w:val="both"/>
            </w:pPr>
            <w:r>
              <w:t>As part of these agreements, signatories are required to submit Completion Files to National Grid within 10 working days of Substantial Completion</w:t>
            </w:r>
            <w:r w:rsidR="00C1155D">
              <w:t xml:space="preserve"> (D+10)</w:t>
            </w:r>
            <w:r>
              <w:t xml:space="preserve"> to confirm the works </w:t>
            </w:r>
            <w:r w:rsidR="000E29BB">
              <w:t>have been</w:t>
            </w:r>
            <w:r w:rsidR="00CD74F4">
              <w:t xml:space="preserve"> finished</w:t>
            </w:r>
            <w:r w:rsidR="000E29BB">
              <w:t xml:space="preserve">. It is important that these Completion Files are accurate and timely as these files are used to update </w:t>
            </w:r>
            <w:r w:rsidR="00CD74F4">
              <w:t xml:space="preserve">National Grid’s </w:t>
            </w:r>
            <w:r w:rsidR="000E29BB">
              <w:t>asset records and meet regulatory obligations</w:t>
            </w:r>
            <w:r w:rsidR="00B47FB3">
              <w:t xml:space="preserve"> to update asset records within 42 days of substantial completion</w:t>
            </w:r>
            <w:r w:rsidR="000E29BB">
              <w:t xml:space="preserve">. </w:t>
            </w:r>
          </w:p>
          <w:p w:rsidR="000E29BB" w:rsidRDefault="000E29BB" w:rsidP="0068079E">
            <w:pPr>
              <w:jc w:val="both"/>
            </w:pPr>
          </w:p>
          <w:p w:rsidR="00F85B78" w:rsidRDefault="000E29BB" w:rsidP="0068079E">
            <w:pPr>
              <w:jc w:val="both"/>
            </w:pPr>
            <w:r>
              <w:t xml:space="preserve">Due to their importance, failure to provide Completion Files is a breach of clause 4.10.3 of both the </w:t>
            </w:r>
            <w:r w:rsidRPr="000E29BB">
              <w:t xml:space="preserve">‘UIP Connection, Service Disconnection &amp; </w:t>
            </w:r>
            <w:r>
              <w:t>Service Alteration Agreement’ and the</w:t>
            </w:r>
            <w:r w:rsidRPr="000E29BB">
              <w:t xml:space="preserve"> ‘Inter-Gas Transporter Connection Agreement’</w:t>
            </w:r>
            <w:r>
              <w:t xml:space="preserve">. National Grid </w:t>
            </w:r>
            <w:r w:rsidR="00CD74F4">
              <w:t>reserves</w:t>
            </w:r>
            <w:r>
              <w:t xml:space="preserve"> the right under clause 3.10 of the </w:t>
            </w:r>
            <w:r w:rsidRPr="000E29BB">
              <w:t>‘UIP Connection, Service Disconnection &amp; Service Alteration Agreement’</w:t>
            </w:r>
            <w:r>
              <w:t xml:space="preserve"> and clause 3.2.10 of the </w:t>
            </w:r>
            <w:r w:rsidRPr="000E29BB">
              <w:t>‘Inter-Gas Transporter Connection Agreement’</w:t>
            </w:r>
            <w:r>
              <w:t xml:space="preserve"> to refuse permission for works on National Grid’s </w:t>
            </w:r>
            <w:r w:rsidR="00550736">
              <w:t>network</w:t>
            </w:r>
            <w:r>
              <w:t xml:space="preserve"> if clause 4.10.3 is </w:t>
            </w:r>
            <w:r w:rsidR="00550736">
              <w:t>not complied with.</w:t>
            </w:r>
            <w:r w:rsidR="00CD74F4">
              <w:t xml:space="preserve"> </w:t>
            </w:r>
          </w:p>
          <w:p w:rsidR="00BE7414" w:rsidRDefault="00BE7414" w:rsidP="0068079E">
            <w:pPr>
              <w:jc w:val="both"/>
            </w:pPr>
          </w:p>
          <w:p w:rsidR="00B5757C" w:rsidRDefault="00BE7414" w:rsidP="00B47FB3">
            <w:pPr>
              <w:jc w:val="both"/>
            </w:pPr>
            <w:r w:rsidRPr="00BE7414">
              <w:t xml:space="preserve">This briefing note sets out the expected performance levels from </w:t>
            </w:r>
            <w:r w:rsidR="00B47FB3">
              <w:t>our UIP and IGT customers</w:t>
            </w:r>
            <w:r w:rsidRPr="00BE7414">
              <w:t xml:space="preserve"> in relation to the </w:t>
            </w:r>
            <w:r>
              <w:t>timeliness</w:t>
            </w:r>
            <w:r w:rsidRPr="00BE7414">
              <w:t xml:space="preserve"> of completion file submissions</w:t>
            </w:r>
            <w:r w:rsidR="00B47FB3">
              <w:t>.</w:t>
            </w:r>
          </w:p>
          <w:p w:rsidR="00B47FB3" w:rsidRPr="00E76991" w:rsidRDefault="00B47FB3" w:rsidP="00B47FB3">
            <w:pPr>
              <w:jc w:val="both"/>
            </w:pPr>
          </w:p>
        </w:tc>
      </w:tr>
      <w:tr w:rsidR="00750E68" w:rsidTr="004829C1">
        <w:tc>
          <w:tcPr>
            <w:tcW w:w="9394" w:type="dxa"/>
            <w:tcBorders>
              <w:left w:val="nil"/>
              <w:right w:val="nil"/>
            </w:tcBorders>
            <w:shd w:val="clear" w:color="auto" w:fill="auto"/>
          </w:tcPr>
          <w:p w:rsidR="00750E68" w:rsidRPr="0068079E" w:rsidRDefault="00750E68" w:rsidP="00822CBB">
            <w:pPr>
              <w:rPr>
                <w:b/>
                <w:bCs/>
                <w:color w:val="0079C1"/>
                <w:u w:val="single"/>
              </w:rPr>
            </w:pPr>
          </w:p>
        </w:tc>
      </w:tr>
      <w:tr w:rsidR="00750E68" w:rsidTr="004829C1">
        <w:tc>
          <w:tcPr>
            <w:tcW w:w="9394" w:type="dxa"/>
            <w:shd w:val="clear" w:color="auto" w:fill="0079C1"/>
          </w:tcPr>
          <w:p w:rsidR="00B261F0" w:rsidRPr="0068079E" w:rsidRDefault="00B261F0" w:rsidP="00822CBB">
            <w:pPr>
              <w:rPr>
                <w:b/>
                <w:bCs/>
                <w:color w:val="FFFFFF"/>
                <w:u w:val="single"/>
              </w:rPr>
            </w:pPr>
          </w:p>
          <w:p w:rsidR="00750E68" w:rsidRPr="00BF301C" w:rsidRDefault="00D1669E" w:rsidP="00BF301C">
            <w:pPr>
              <w:pStyle w:val="ListParagraph"/>
              <w:numPr>
                <w:ilvl w:val="0"/>
                <w:numId w:val="9"/>
              </w:numPr>
              <w:rPr>
                <w:b/>
                <w:bCs/>
                <w:color w:val="FFFFFF"/>
                <w:u w:val="single"/>
              </w:rPr>
            </w:pPr>
            <w:r w:rsidRPr="00BF301C">
              <w:rPr>
                <w:b/>
                <w:bCs/>
                <w:color w:val="FFFFFF"/>
                <w:u w:val="single"/>
              </w:rPr>
              <w:t xml:space="preserve">Management Information &amp; </w:t>
            </w:r>
            <w:r w:rsidR="00D96097" w:rsidRPr="00BF301C">
              <w:rPr>
                <w:b/>
                <w:bCs/>
                <w:color w:val="FFFFFF"/>
                <w:u w:val="single"/>
              </w:rPr>
              <w:t xml:space="preserve">Expected </w:t>
            </w:r>
            <w:r w:rsidR="00B5757C" w:rsidRPr="00BF301C">
              <w:rPr>
                <w:b/>
                <w:bCs/>
                <w:color w:val="FFFFFF"/>
                <w:u w:val="single"/>
              </w:rPr>
              <w:t>Performance Level</w:t>
            </w:r>
          </w:p>
          <w:p w:rsidR="00B261F0" w:rsidRPr="0068079E" w:rsidRDefault="00B261F0" w:rsidP="00822CBB">
            <w:pPr>
              <w:rPr>
                <w:b/>
                <w:bCs/>
                <w:color w:val="FFFFFF"/>
                <w:u w:val="single"/>
              </w:rPr>
            </w:pPr>
          </w:p>
        </w:tc>
      </w:tr>
      <w:tr w:rsidR="00822CBB" w:rsidTr="004829C1">
        <w:tc>
          <w:tcPr>
            <w:tcW w:w="9394" w:type="dxa"/>
            <w:tcBorders>
              <w:bottom w:val="single" w:sz="4" w:space="0" w:color="auto"/>
            </w:tcBorders>
            <w:shd w:val="clear" w:color="auto" w:fill="auto"/>
          </w:tcPr>
          <w:p w:rsidR="00822CBB" w:rsidRPr="0068079E" w:rsidRDefault="00822CBB" w:rsidP="00822CBB">
            <w:pPr>
              <w:rPr>
                <w:b/>
                <w:bCs/>
                <w:u w:val="single"/>
              </w:rPr>
            </w:pPr>
          </w:p>
          <w:p w:rsidR="00A07823" w:rsidRDefault="00235A31" w:rsidP="0068079E">
            <w:pPr>
              <w:jc w:val="both"/>
            </w:pPr>
            <w:r>
              <w:t>National Grid’s ambition is to be the best performing gas distribution network and to do this</w:t>
            </w:r>
            <w:r w:rsidR="00FB560A">
              <w:t>,</w:t>
            </w:r>
            <w:r>
              <w:t xml:space="preserve"> we need to ensure all our asset records are accurate</w:t>
            </w:r>
            <w:r w:rsidR="00FB560A">
              <w:t>, updated in a timely manner</w:t>
            </w:r>
            <w:r>
              <w:t xml:space="preserve"> and updated correctly first time. To support UIPs and IGTs with complying with the terms of the </w:t>
            </w:r>
            <w:r w:rsidRPr="00000925">
              <w:t>‘UIP Connection, Service Disconnection &amp; Service Alteration Agreement’ or ‘Inter-Gas Transporter Connection Agreement’</w:t>
            </w:r>
            <w:r>
              <w:t xml:space="preserve"> and to help meet National Grid’s ambition, the performance level National Grid deem appropriate</w:t>
            </w:r>
            <w:r w:rsidR="00032BB7">
              <w:t xml:space="preserve"> (to comply with clause 4.10.3) </w:t>
            </w:r>
            <w:r>
              <w:t>in the long term is listed below;</w:t>
            </w:r>
          </w:p>
          <w:p w:rsidR="00235A31" w:rsidRDefault="00235A31" w:rsidP="006807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2127"/>
              <w:gridCol w:w="1679"/>
            </w:tblGrid>
            <w:tr w:rsidR="005C5BCB" w:rsidTr="00F1258E">
              <w:tc>
                <w:tcPr>
                  <w:tcW w:w="4603" w:type="dxa"/>
                  <w:shd w:val="clear" w:color="auto" w:fill="D9D9D9"/>
                </w:tcPr>
                <w:p w:rsidR="005C5BCB" w:rsidRPr="00E318EF" w:rsidRDefault="005C5BCB" w:rsidP="00557071">
                  <w:pPr>
                    <w:jc w:val="center"/>
                    <w:rPr>
                      <w:b/>
                    </w:rPr>
                  </w:pPr>
                  <w:r w:rsidRPr="00E318EF">
                    <w:rPr>
                      <w:b/>
                    </w:rPr>
                    <w:t>Metric</w:t>
                  </w:r>
                </w:p>
              </w:tc>
              <w:tc>
                <w:tcPr>
                  <w:tcW w:w="2127" w:type="dxa"/>
                  <w:shd w:val="clear" w:color="auto" w:fill="D9D9D9"/>
                </w:tcPr>
                <w:p w:rsidR="005C5BCB" w:rsidRPr="00E318EF" w:rsidRDefault="005C5BCB" w:rsidP="00557071">
                  <w:pPr>
                    <w:jc w:val="center"/>
                    <w:rPr>
                      <w:b/>
                    </w:rPr>
                  </w:pPr>
                  <w:r w:rsidRPr="00E318EF">
                    <w:rPr>
                      <w:b/>
                    </w:rPr>
                    <w:t>Large Firm</w:t>
                  </w:r>
                </w:p>
              </w:tc>
              <w:tc>
                <w:tcPr>
                  <w:tcW w:w="1679" w:type="dxa"/>
                  <w:shd w:val="clear" w:color="auto" w:fill="D9D9D9"/>
                </w:tcPr>
                <w:p w:rsidR="005C5BCB" w:rsidRPr="00E318EF" w:rsidRDefault="005C5BCB" w:rsidP="00557071">
                  <w:pPr>
                    <w:jc w:val="center"/>
                    <w:rPr>
                      <w:b/>
                    </w:rPr>
                  </w:pPr>
                  <w:r w:rsidRPr="00E318EF">
                    <w:rPr>
                      <w:b/>
                    </w:rPr>
                    <w:t>Small Firm</w:t>
                  </w:r>
                </w:p>
              </w:tc>
            </w:tr>
            <w:tr w:rsidR="005C5BCB" w:rsidTr="00F1258E">
              <w:tc>
                <w:tcPr>
                  <w:tcW w:w="4603" w:type="dxa"/>
                  <w:shd w:val="clear" w:color="auto" w:fill="auto"/>
                </w:tcPr>
                <w:p w:rsidR="005C5BCB" w:rsidRDefault="00D6353C" w:rsidP="00557071">
                  <w:pPr>
                    <w:jc w:val="both"/>
                  </w:pPr>
                  <w:r>
                    <w:t>Max no. c</w:t>
                  </w:r>
                  <w:r w:rsidR="00FB560A" w:rsidRPr="00FB560A">
                    <w:t xml:space="preserve">ompletion files </w:t>
                  </w:r>
                  <w:r w:rsidR="00274573">
                    <w:t>outstanding</w:t>
                  </w:r>
                  <w:r w:rsidR="00274573" w:rsidRPr="00FB560A">
                    <w:t xml:space="preserve"> </w:t>
                  </w:r>
                  <w:r w:rsidR="00FB560A" w:rsidRPr="00FB560A">
                    <w:t>by D+10</w:t>
                  </w:r>
                </w:p>
              </w:tc>
              <w:tc>
                <w:tcPr>
                  <w:tcW w:w="2127" w:type="dxa"/>
                  <w:shd w:val="clear" w:color="auto" w:fill="auto"/>
                </w:tcPr>
                <w:p w:rsidR="005C5BCB" w:rsidRDefault="00F1258E" w:rsidP="00F1258E">
                  <w:pPr>
                    <w:jc w:val="center"/>
                  </w:pPr>
                  <w:r>
                    <w:t xml:space="preserve">Greater of </w:t>
                  </w:r>
                  <w:r w:rsidR="00D56273">
                    <w:t>10</w:t>
                  </w:r>
                  <w:r w:rsidR="00274573">
                    <w:t xml:space="preserve">% or </w:t>
                  </w:r>
                  <w:r>
                    <w:t>1</w:t>
                  </w:r>
                </w:p>
              </w:tc>
              <w:tc>
                <w:tcPr>
                  <w:tcW w:w="1679" w:type="dxa"/>
                  <w:shd w:val="clear" w:color="auto" w:fill="auto"/>
                </w:tcPr>
                <w:p w:rsidR="005C5BCB" w:rsidRDefault="00F528BC" w:rsidP="00557071">
                  <w:pPr>
                    <w:jc w:val="center"/>
                  </w:pPr>
                  <w:r>
                    <w:t>1</w:t>
                  </w:r>
                </w:p>
              </w:tc>
            </w:tr>
            <w:tr w:rsidR="005C5BCB" w:rsidTr="00F1258E">
              <w:tc>
                <w:tcPr>
                  <w:tcW w:w="4603" w:type="dxa"/>
                  <w:shd w:val="clear" w:color="auto" w:fill="auto"/>
                </w:tcPr>
                <w:p w:rsidR="005C5BCB" w:rsidRDefault="00D6353C" w:rsidP="00557071">
                  <w:pPr>
                    <w:jc w:val="both"/>
                  </w:pPr>
                  <w:r>
                    <w:t>Max no. c</w:t>
                  </w:r>
                  <w:r w:rsidR="00FB560A" w:rsidRPr="00FB560A">
                    <w:t>ompletion files outstanding by D+</w:t>
                  </w:r>
                  <w:r w:rsidR="00602D33">
                    <w:t>25</w:t>
                  </w:r>
                </w:p>
              </w:tc>
              <w:tc>
                <w:tcPr>
                  <w:tcW w:w="3806" w:type="dxa"/>
                  <w:gridSpan w:val="2"/>
                  <w:shd w:val="clear" w:color="auto" w:fill="auto"/>
                </w:tcPr>
                <w:p w:rsidR="005C5BCB" w:rsidRDefault="005C5BCB" w:rsidP="00557071">
                  <w:pPr>
                    <w:jc w:val="center"/>
                  </w:pPr>
                  <w:r>
                    <w:t>None</w:t>
                  </w:r>
                </w:p>
              </w:tc>
            </w:tr>
            <w:tr w:rsidR="00F1258E" w:rsidTr="00F1258E">
              <w:tc>
                <w:tcPr>
                  <w:tcW w:w="4603" w:type="dxa"/>
                  <w:shd w:val="clear" w:color="auto" w:fill="auto"/>
                </w:tcPr>
                <w:p w:rsidR="00F1258E" w:rsidRPr="00CD7E9F" w:rsidRDefault="00D6353C" w:rsidP="00557071">
                  <w:pPr>
                    <w:jc w:val="both"/>
                    <w:rPr>
                      <w:strike/>
                    </w:rPr>
                  </w:pPr>
                  <w:r w:rsidRPr="00CD7E9F">
                    <w:rPr>
                      <w:strike/>
                    </w:rPr>
                    <w:t>Max no. m</w:t>
                  </w:r>
                  <w:r w:rsidR="00F1258E" w:rsidRPr="00CD7E9F">
                    <w:rPr>
                      <w:strike/>
                    </w:rPr>
                    <w:t>ajor unauthorised connections</w:t>
                  </w:r>
                </w:p>
              </w:tc>
              <w:tc>
                <w:tcPr>
                  <w:tcW w:w="3806" w:type="dxa"/>
                  <w:gridSpan w:val="2"/>
                  <w:shd w:val="clear" w:color="auto" w:fill="auto"/>
                </w:tcPr>
                <w:p w:rsidR="00F1258E" w:rsidRPr="00CD7E9F" w:rsidRDefault="00F1258E" w:rsidP="00557071">
                  <w:pPr>
                    <w:jc w:val="center"/>
                    <w:rPr>
                      <w:strike/>
                    </w:rPr>
                  </w:pPr>
                  <w:r w:rsidRPr="00CD7E9F">
                    <w:rPr>
                      <w:strike/>
                    </w:rPr>
                    <w:t>None</w:t>
                  </w:r>
                  <w:r w:rsidR="00CD7E9F">
                    <w:rPr>
                      <w:strike/>
                    </w:rPr>
                    <w:t xml:space="preserve"> </w:t>
                  </w:r>
                  <w:r w:rsidR="00CD7E9F">
                    <w:rPr>
                      <w:i/>
                    </w:rPr>
                    <w:t xml:space="preserve"> R</w:t>
                  </w:r>
                  <w:r w:rsidR="00CD7E9F" w:rsidRPr="00CD7E9F">
                    <w:rPr>
                      <w:i/>
                    </w:rPr>
                    <w:t>emoved 05/08/15</w:t>
                  </w:r>
                </w:p>
              </w:tc>
            </w:tr>
          </w:tbl>
          <w:p w:rsidR="00CD7E9F" w:rsidRDefault="00CD7E9F" w:rsidP="0068079E">
            <w:pPr>
              <w:jc w:val="both"/>
              <w:rPr>
                <w:b/>
                <w:sz w:val="16"/>
              </w:rPr>
            </w:pPr>
          </w:p>
          <w:p w:rsidR="005C5BCB" w:rsidRPr="00E318EF" w:rsidRDefault="005C5BCB" w:rsidP="0068079E">
            <w:pPr>
              <w:jc w:val="both"/>
              <w:rPr>
                <w:sz w:val="16"/>
              </w:rPr>
            </w:pPr>
            <w:r w:rsidRPr="00E318EF">
              <w:rPr>
                <w:b/>
                <w:sz w:val="16"/>
              </w:rPr>
              <w:lastRenderedPageBreak/>
              <w:t>Note</w:t>
            </w:r>
            <w:r w:rsidR="003A5693" w:rsidRPr="00E318EF">
              <w:rPr>
                <w:b/>
                <w:sz w:val="16"/>
              </w:rPr>
              <w:t>: -</w:t>
            </w:r>
            <w:r w:rsidRPr="00E318EF">
              <w:rPr>
                <w:sz w:val="16"/>
              </w:rPr>
              <w:t xml:space="preserve"> </w:t>
            </w:r>
            <w:r w:rsidR="005E3162">
              <w:rPr>
                <w:sz w:val="16"/>
              </w:rPr>
              <w:t>A</w:t>
            </w:r>
            <w:r w:rsidR="005E3162">
              <w:rPr>
                <w:i/>
                <w:sz w:val="16"/>
              </w:rPr>
              <w:t>ny customer</w:t>
            </w:r>
            <w:r w:rsidRPr="00E318EF">
              <w:rPr>
                <w:i/>
                <w:sz w:val="16"/>
              </w:rPr>
              <w:t xml:space="preserve"> that </w:t>
            </w:r>
            <w:r w:rsidR="003A5693" w:rsidRPr="00E318EF">
              <w:rPr>
                <w:i/>
                <w:sz w:val="16"/>
              </w:rPr>
              <w:t xml:space="preserve">has 10 or more </w:t>
            </w:r>
            <w:r w:rsidR="00FE7A14">
              <w:rPr>
                <w:i/>
                <w:sz w:val="16"/>
              </w:rPr>
              <w:t>completions</w:t>
            </w:r>
            <w:r w:rsidR="00F528BC" w:rsidRPr="00E318EF">
              <w:rPr>
                <w:i/>
                <w:sz w:val="16"/>
              </w:rPr>
              <w:t xml:space="preserve"> in the calendar</w:t>
            </w:r>
            <w:r w:rsidR="003A5693" w:rsidRPr="00E318EF">
              <w:rPr>
                <w:i/>
                <w:sz w:val="16"/>
              </w:rPr>
              <w:t xml:space="preserve"> month</w:t>
            </w:r>
            <w:r w:rsidR="005E3162">
              <w:rPr>
                <w:i/>
                <w:sz w:val="16"/>
              </w:rPr>
              <w:t xml:space="preserve"> will be classed as a “Large Firm” for that month. Any customer with fewer than</w:t>
            </w:r>
            <w:r w:rsidR="00FE7A14">
              <w:rPr>
                <w:i/>
                <w:sz w:val="16"/>
              </w:rPr>
              <w:t xml:space="preserve"> 10 completions</w:t>
            </w:r>
            <w:r w:rsidR="005E3162">
              <w:rPr>
                <w:i/>
                <w:sz w:val="16"/>
              </w:rPr>
              <w:t xml:space="preserve"> will be classed as a “Small Firm” for that month.</w:t>
            </w:r>
          </w:p>
          <w:p w:rsidR="00235A31" w:rsidRDefault="00235A31" w:rsidP="0068079E">
            <w:pPr>
              <w:jc w:val="both"/>
            </w:pPr>
          </w:p>
          <w:p w:rsidR="00274573" w:rsidRPr="00E76991" w:rsidRDefault="00D1669E" w:rsidP="0068079E">
            <w:pPr>
              <w:jc w:val="both"/>
            </w:pPr>
            <w:r>
              <w:t xml:space="preserve">Failure to meet these performance levels will result in </w:t>
            </w:r>
            <w:r w:rsidR="00D75B2E">
              <w:t xml:space="preserve">non-compliance with clause 4.10.3 and will result in </w:t>
            </w:r>
            <w:r>
              <w:t>National Grid enacting clause 3.10</w:t>
            </w:r>
            <w:r w:rsidR="00B34840">
              <w:t xml:space="preserve"> (or 3.2.10 for IGT signatories)</w:t>
            </w:r>
            <w:r>
              <w:t xml:space="preserve"> using the process </w:t>
            </w:r>
            <w:r w:rsidR="00D75B2E">
              <w:t xml:space="preserve">described </w:t>
            </w:r>
            <w:r w:rsidR="00C832A2">
              <w:t>later in this document</w:t>
            </w:r>
            <w:r>
              <w:t>.</w:t>
            </w:r>
            <w:r w:rsidR="00D96097">
              <w:t xml:space="preserve"> </w:t>
            </w:r>
            <w:r w:rsidR="00032BB7">
              <w:t xml:space="preserve">National Grid appreciate and understand that these are tough performance levels and will require time for UIPs, IGTs and National Grid to change </w:t>
            </w:r>
            <w:r w:rsidR="00721B0D">
              <w:t xml:space="preserve">processes </w:t>
            </w:r>
            <w:r w:rsidR="00032BB7">
              <w:t xml:space="preserve">to meet these levels; therefore these performance levels will be gradually </w:t>
            </w:r>
            <w:r w:rsidR="00C832A2">
              <w:t xml:space="preserve">put into place </w:t>
            </w:r>
            <w:r w:rsidR="00032BB7">
              <w:t xml:space="preserve">using the ratchet mechanism described below. </w:t>
            </w:r>
          </w:p>
          <w:p w:rsidR="00822CBB" w:rsidRDefault="00822CBB" w:rsidP="00E318EF">
            <w:pPr>
              <w:jc w:val="both"/>
            </w:pPr>
          </w:p>
        </w:tc>
      </w:tr>
      <w:tr w:rsidR="00D96097" w:rsidTr="004829C1">
        <w:tc>
          <w:tcPr>
            <w:tcW w:w="9394" w:type="dxa"/>
            <w:tcBorders>
              <w:left w:val="nil"/>
              <w:bottom w:val="single" w:sz="4" w:space="0" w:color="auto"/>
              <w:right w:val="nil"/>
            </w:tcBorders>
            <w:shd w:val="clear" w:color="auto" w:fill="auto"/>
          </w:tcPr>
          <w:p w:rsidR="00B47FB3" w:rsidRDefault="00B47FB3" w:rsidP="00822CBB">
            <w:pPr>
              <w:rPr>
                <w:b/>
                <w:bCs/>
                <w:u w:val="single"/>
              </w:rPr>
            </w:pPr>
          </w:p>
          <w:p w:rsidR="00D6353C" w:rsidRDefault="00D6353C" w:rsidP="00822CBB">
            <w:pPr>
              <w:rPr>
                <w:b/>
                <w:bCs/>
                <w:u w:val="single"/>
              </w:rPr>
            </w:pPr>
          </w:p>
          <w:p w:rsidR="004829C1" w:rsidRPr="0068079E" w:rsidRDefault="004829C1" w:rsidP="00822CBB">
            <w:pPr>
              <w:rPr>
                <w:b/>
                <w:bCs/>
                <w:u w:val="single"/>
              </w:rPr>
            </w:pPr>
          </w:p>
        </w:tc>
      </w:tr>
      <w:tr w:rsidR="00D96097" w:rsidRPr="0068079E" w:rsidTr="004829C1">
        <w:tc>
          <w:tcPr>
            <w:tcW w:w="9394" w:type="dxa"/>
            <w:shd w:val="clear" w:color="auto" w:fill="0079C1"/>
          </w:tcPr>
          <w:p w:rsidR="00D96097" w:rsidRPr="0068079E" w:rsidRDefault="00D96097" w:rsidP="00A505DC">
            <w:pPr>
              <w:rPr>
                <w:b/>
                <w:bCs/>
                <w:color w:val="FFFFFF"/>
                <w:u w:val="single"/>
              </w:rPr>
            </w:pPr>
          </w:p>
          <w:p w:rsidR="00D96097" w:rsidRPr="00BF301C" w:rsidRDefault="00D96097" w:rsidP="00BF301C">
            <w:pPr>
              <w:pStyle w:val="ListParagraph"/>
              <w:numPr>
                <w:ilvl w:val="0"/>
                <w:numId w:val="9"/>
              </w:numPr>
              <w:rPr>
                <w:b/>
                <w:bCs/>
                <w:color w:val="FFFFFF"/>
                <w:u w:val="single"/>
              </w:rPr>
            </w:pPr>
            <w:r w:rsidRPr="00BF301C">
              <w:rPr>
                <w:b/>
                <w:bCs/>
                <w:color w:val="FFFFFF"/>
                <w:u w:val="single"/>
              </w:rPr>
              <w:t xml:space="preserve">Performance </w:t>
            </w:r>
            <w:r w:rsidR="00032BB7" w:rsidRPr="00BF301C">
              <w:rPr>
                <w:b/>
                <w:bCs/>
                <w:color w:val="FFFFFF"/>
                <w:u w:val="single"/>
              </w:rPr>
              <w:t>Ratchet Mechanism</w:t>
            </w:r>
          </w:p>
          <w:p w:rsidR="00D96097" w:rsidRPr="0068079E" w:rsidRDefault="00D96097" w:rsidP="00A505DC">
            <w:pPr>
              <w:rPr>
                <w:b/>
                <w:bCs/>
                <w:color w:val="FFFFFF"/>
                <w:u w:val="single"/>
              </w:rPr>
            </w:pPr>
          </w:p>
        </w:tc>
      </w:tr>
      <w:tr w:rsidR="00D96097" w:rsidTr="004829C1">
        <w:tc>
          <w:tcPr>
            <w:tcW w:w="9394" w:type="dxa"/>
            <w:tcBorders>
              <w:bottom w:val="single" w:sz="4" w:space="0" w:color="auto"/>
            </w:tcBorders>
            <w:shd w:val="clear" w:color="auto" w:fill="auto"/>
          </w:tcPr>
          <w:p w:rsidR="00D96097" w:rsidRPr="0068079E" w:rsidRDefault="00D96097" w:rsidP="00A505DC">
            <w:pPr>
              <w:rPr>
                <w:b/>
                <w:bCs/>
                <w:u w:val="single"/>
              </w:rPr>
            </w:pPr>
          </w:p>
          <w:p w:rsidR="00D96097" w:rsidRDefault="00721B0D" w:rsidP="00A505DC">
            <w:pPr>
              <w:jc w:val="both"/>
            </w:pPr>
            <w:r>
              <w:t xml:space="preserve">This section provides information on how the </w:t>
            </w:r>
            <w:r w:rsidR="00764365">
              <w:t xml:space="preserve">required </w:t>
            </w:r>
            <w:r>
              <w:t xml:space="preserve">performance </w:t>
            </w:r>
            <w:r w:rsidR="00764365">
              <w:t>level</w:t>
            </w:r>
            <w:r>
              <w:t xml:space="preserve"> will be gradually raised over time </w:t>
            </w:r>
            <w:r w:rsidR="00764365">
              <w:t xml:space="preserve">so that </w:t>
            </w:r>
            <w:r>
              <w:t>all parties</w:t>
            </w:r>
            <w:r w:rsidR="00764365">
              <w:t xml:space="preserve"> can adapt</w:t>
            </w:r>
            <w:r>
              <w:t xml:space="preserve"> </w:t>
            </w:r>
            <w:r w:rsidR="00764365">
              <w:t xml:space="preserve">and change as needed </w:t>
            </w:r>
            <w:r>
              <w:t xml:space="preserve">to meet </w:t>
            </w:r>
            <w:r w:rsidR="008C5685">
              <w:t xml:space="preserve">the </w:t>
            </w:r>
            <w:r>
              <w:t>expected performance levels</w:t>
            </w:r>
            <w:r w:rsidR="008C5685">
              <w:t>.</w:t>
            </w:r>
            <w:r>
              <w:t xml:space="preserve"> </w:t>
            </w:r>
            <w:r w:rsidR="000A7487">
              <w:t xml:space="preserve">These performance levels will be applicable to all </w:t>
            </w:r>
            <w:r w:rsidR="009F7FF7">
              <w:t>works planned</w:t>
            </w:r>
            <w:r w:rsidR="00470BD0">
              <w:t xml:space="preserve"> on or after </w:t>
            </w:r>
            <w:r w:rsidR="009F0BA1">
              <w:t>Monday 4</w:t>
            </w:r>
            <w:r w:rsidR="009F0BA1" w:rsidRPr="009F0BA1">
              <w:rPr>
                <w:vertAlign w:val="superscript"/>
              </w:rPr>
              <w:t>th</w:t>
            </w:r>
            <w:r w:rsidR="009F0BA1">
              <w:t xml:space="preserve"> </w:t>
            </w:r>
            <w:r w:rsidR="00470BD0">
              <w:t>August</w:t>
            </w:r>
            <w:r w:rsidR="000A7487">
              <w:t xml:space="preserve"> 2014</w:t>
            </w:r>
            <w:r w:rsidR="00470BD0">
              <w:t xml:space="preserve">; for the avoidance of doubt these performance levels will not apply to any </w:t>
            </w:r>
            <w:r w:rsidR="009F7FF7">
              <w:t>works planned</w:t>
            </w:r>
            <w:r w:rsidR="00470BD0">
              <w:t xml:space="preserve"> before </w:t>
            </w:r>
            <w:r w:rsidR="009F0BA1">
              <w:t>Monday 4</w:t>
            </w:r>
            <w:r w:rsidR="009F0BA1" w:rsidRPr="009F0BA1">
              <w:rPr>
                <w:vertAlign w:val="superscript"/>
              </w:rPr>
              <w:t>th</w:t>
            </w:r>
            <w:r w:rsidR="009F0BA1">
              <w:t xml:space="preserve"> </w:t>
            </w:r>
            <w:r w:rsidR="00470BD0">
              <w:t>August 2014.</w:t>
            </w:r>
          </w:p>
          <w:p w:rsidR="00D96097" w:rsidRDefault="00D96097" w:rsidP="00A505DC">
            <w:pPr>
              <w:jc w:val="both"/>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2116"/>
              <w:gridCol w:w="1134"/>
              <w:gridCol w:w="1968"/>
              <w:gridCol w:w="1675"/>
              <w:gridCol w:w="1393"/>
            </w:tblGrid>
            <w:tr w:rsidR="00F770E8" w:rsidTr="00F770E8">
              <w:tc>
                <w:tcPr>
                  <w:tcW w:w="2477" w:type="dxa"/>
                  <w:gridSpan w:val="2"/>
                  <w:shd w:val="clear" w:color="auto" w:fill="D9D9D9"/>
                  <w:vAlign w:val="center"/>
                </w:tcPr>
                <w:p w:rsidR="00FE47A6" w:rsidRPr="00E318EF" w:rsidRDefault="00FE47A6" w:rsidP="00FE47A6">
                  <w:pPr>
                    <w:jc w:val="center"/>
                    <w:rPr>
                      <w:b/>
                    </w:rPr>
                  </w:pPr>
                  <w:r w:rsidRPr="00E318EF">
                    <w:rPr>
                      <w:b/>
                    </w:rPr>
                    <w:t>Metric</w:t>
                  </w:r>
                </w:p>
              </w:tc>
              <w:tc>
                <w:tcPr>
                  <w:tcW w:w="1134" w:type="dxa"/>
                  <w:shd w:val="clear" w:color="auto" w:fill="D9D9D9"/>
                  <w:vAlign w:val="center"/>
                </w:tcPr>
                <w:p w:rsidR="00FE47A6" w:rsidRPr="00E318EF" w:rsidRDefault="00FE47A6" w:rsidP="00557071">
                  <w:pPr>
                    <w:jc w:val="center"/>
                    <w:rPr>
                      <w:b/>
                    </w:rPr>
                  </w:pPr>
                  <w:r w:rsidRPr="00557071">
                    <w:rPr>
                      <w:b/>
                    </w:rPr>
                    <w:t>Firm Size</w:t>
                  </w:r>
                </w:p>
              </w:tc>
              <w:tc>
                <w:tcPr>
                  <w:tcW w:w="1968" w:type="dxa"/>
                  <w:shd w:val="clear" w:color="auto" w:fill="D9D9D9"/>
                  <w:vAlign w:val="center"/>
                </w:tcPr>
                <w:p w:rsidR="00FE47A6" w:rsidRPr="00E318EF" w:rsidRDefault="00FE47A6" w:rsidP="00557071">
                  <w:pPr>
                    <w:jc w:val="center"/>
                    <w:rPr>
                      <w:b/>
                    </w:rPr>
                  </w:pPr>
                  <w:r w:rsidRPr="00E318EF">
                    <w:rPr>
                      <w:b/>
                    </w:rPr>
                    <w:t>Step 1</w:t>
                  </w:r>
                </w:p>
              </w:tc>
              <w:tc>
                <w:tcPr>
                  <w:tcW w:w="1675" w:type="dxa"/>
                  <w:shd w:val="clear" w:color="auto" w:fill="D9D9D9"/>
                  <w:vAlign w:val="center"/>
                </w:tcPr>
                <w:p w:rsidR="00FE47A6" w:rsidRPr="00E318EF" w:rsidRDefault="00FE47A6" w:rsidP="00557071">
                  <w:pPr>
                    <w:jc w:val="center"/>
                    <w:rPr>
                      <w:b/>
                    </w:rPr>
                  </w:pPr>
                  <w:r w:rsidRPr="00E318EF">
                    <w:rPr>
                      <w:b/>
                    </w:rPr>
                    <w:t>Step 2</w:t>
                  </w:r>
                </w:p>
              </w:tc>
              <w:tc>
                <w:tcPr>
                  <w:tcW w:w="1393" w:type="dxa"/>
                  <w:shd w:val="clear" w:color="auto" w:fill="D9D9D9"/>
                  <w:vAlign w:val="center"/>
                </w:tcPr>
                <w:p w:rsidR="00FE47A6" w:rsidRPr="00E318EF" w:rsidRDefault="00FE47A6" w:rsidP="00557071">
                  <w:pPr>
                    <w:jc w:val="center"/>
                    <w:rPr>
                      <w:b/>
                    </w:rPr>
                  </w:pPr>
                  <w:r w:rsidRPr="00E318EF">
                    <w:rPr>
                      <w:b/>
                    </w:rPr>
                    <w:t>Expected</w:t>
                  </w:r>
                </w:p>
              </w:tc>
            </w:tr>
            <w:tr w:rsidR="00F770E8" w:rsidTr="00F770E8">
              <w:tc>
                <w:tcPr>
                  <w:tcW w:w="361" w:type="dxa"/>
                  <w:vMerge w:val="restart"/>
                  <w:vAlign w:val="center"/>
                </w:tcPr>
                <w:p w:rsidR="00FE47A6" w:rsidRDefault="00FE47A6" w:rsidP="00491C4D">
                  <w:pPr>
                    <w:jc w:val="center"/>
                  </w:pPr>
                  <w:r>
                    <w:t>A</w:t>
                  </w:r>
                </w:p>
              </w:tc>
              <w:tc>
                <w:tcPr>
                  <w:tcW w:w="2116" w:type="dxa"/>
                  <w:vMerge w:val="restart"/>
                  <w:shd w:val="clear" w:color="auto" w:fill="auto"/>
                  <w:vAlign w:val="center"/>
                </w:tcPr>
                <w:p w:rsidR="00FE47A6" w:rsidRDefault="00D6353C" w:rsidP="00D6353C">
                  <w:r w:rsidRPr="00D6353C">
                    <w:t xml:space="preserve">Max no. </w:t>
                  </w:r>
                  <w:r>
                    <w:t>c</w:t>
                  </w:r>
                  <w:r w:rsidR="00FE47A6">
                    <w:t>ompletion files</w:t>
                  </w:r>
                  <w:r w:rsidR="00FE47A6" w:rsidRPr="00545818">
                    <w:t xml:space="preserve"> </w:t>
                  </w:r>
                  <w:r w:rsidR="00FE47A6" w:rsidRPr="00FE47A6">
                    <w:t>outstanding by D+10</w:t>
                  </w:r>
                </w:p>
              </w:tc>
              <w:tc>
                <w:tcPr>
                  <w:tcW w:w="1134" w:type="dxa"/>
                  <w:shd w:val="clear" w:color="auto" w:fill="auto"/>
                  <w:vAlign w:val="center"/>
                </w:tcPr>
                <w:p w:rsidR="00FE47A6" w:rsidRPr="00545818" w:rsidRDefault="00FE47A6" w:rsidP="00557071">
                  <w:pPr>
                    <w:jc w:val="center"/>
                  </w:pPr>
                  <w:r>
                    <w:t>Large</w:t>
                  </w:r>
                </w:p>
              </w:tc>
              <w:tc>
                <w:tcPr>
                  <w:tcW w:w="1968" w:type="dxa"/>
                  <w:shd w:val="clear" w:color="auto" w:fill="auto"/>
                  <w:vAlign w:val="center"/>
                </w:tcPr>
                <w:p w:rsidR="00FE47A6" w:rsidRPr="00E318EF" w:rsidRDefault="00F1258E" w:rsidP="00F1258E">
                  <w:pPr>
                    <w:jc w:val="center"/>
                  </w:pPr>
                  <w:r>
                    <w:t xml:space="preserve">Greater of </w:t>
                  </w:r>
                  <w:r w:rsidR="00FE47A6">
                    <w:t xml:space="preserve">25% or </w:t>
                  </w:r>
                  <w:r>
                    <w:t>3</w:t>
                  </w:r>
                </w:p>
              </w:tc>
              <w:tc>
                <w:tcPr>
                  <w:tcW w:w="1675" w:type="dxa"/>
                  <w:shd w:val="clear" w:color="auto" w:fill="auto"/>
                  <w:vAlign w:val="center"/>
                </w:tcPr>
                <w:p w:rsidR="00FE47A6" w:rsidRPr="00E318EF" w:rsidRDefault="00F1258E" w:rsidP="00F1258E">
                  <w:pPr>
                    <w:jc w:val="center"/>
                  </w:pPr>
                  <w:r>
                    <w:t xml:space="preserve">Greater of </w:t>
                  </w:r>
                  <w:r w:rsidR="00FE47A6">
                    <w:t xml:space="preserve">15% or </w:t>
                  </w:r>
                  <w:r>
                    <w:t>2</w:t>
                  </w:r>
                </w:p>
              </w:tc>
              <w:tc>
                <w:tcPr>
                  <w:tcW w:w="1393" w:type="dxa"/>
                  <w:shd w:val="clear" w:color="auto" w:fill="auto"/>
                  <w:vAlign w:val="center"/>
                </w:tcPr>
                <w:p w:rsidR="00FE47A6" w:rsidRDefault="00F1258E" w:rsidP="00F1258E">
                  <w:pPr>
                    <w:jc w:val="center"/>
                  </w:pPr>
                  <w:r>
                    <w:t xml:space="preserve">Greater of </w:t>
                  </w:r>
                  <w:r w:rsidR="00D56273">
                    <w:t>10</w:t>
                  </w:r>
                  <w:r w:rsidR="00FE47A6">
                    <w:t xml:space="preserve">% or </w:t>
                  </w:r>
                  <w:r>
                    <w:t>1</w:t>
                  </w:r>
                </w:p>
              </w:tc>
            </w:tr>
            <w:tr w:rsidR="00F770E8" w:rsidTr="00F770E8">
              <w:tc>
                <w:tcPr>
                  <w:tcW w:w="361" w:type="dxa"/>
                  <w:vMerge/>
                  <w:vAlign w:val="center"/>
                </w:tcPr>
                <w:p w:rsidR="00FE47A6" w:rsidRPr="00545818" w:rsidRDefault="00FE47A6" w:rsidP="00491C4D">
                  <w:pPr>
                    <w:jc w:val="center"/>
                  </w:pPr>
                </w:p>
              </w:tc>
              <w:tc>
                <w:tcPr>
                  <w:tcW w:w="2116" w:type="dxa"/>
                  <w:vMerge/>
                  <w:shd w:val="clear" w:color="auto" w:fill="auto"/>
                  <w:vAlign w:val="center"/>
                </w:tcPr>
                <w:p w:rsidR="00FE47A6" w:rsidRPr="00545818" w:rsidRDefault="00FE47A6" w:rsidP="008C5685"/>
              </w:tc>
              <w:tc>
                <w:tcPr>
                  <w:tcW w:w="1134" w:type="dxa"/>
                  <w:shd w:val="clear" w:color="auto" w:fill="auto"/>
                  <w:vAlign w:val="center"/>
                </w:tcPr>
                <w:p w:rsidR="00FE47A6" w:rsidRPr="00545818" w:rsidRDefault="00FE47A6" w:rsidP="00557071">
                  <w:pPr>
                    <w:jc w:val="center"/>
                  </w:pPr>
                  <w:r>
                    <w:t>Small</w:t>
                  </w:r>
                </w:p>
              </w:tc>
              <w:tc>
                <w:tcPr>
                  <w:tcW w:w="1968" w:type="dxa"/>
                  <w:shd w:val="clear" w:color="auto" w:fill="auto"/>
                  <w:vAlign w:val="center"/>
                </w:tcPr>
                <w:p w:rsidR="00FE47A6" w:rsidRPr="00E318EF" w:rsidRDefault="00FE47A6" w:rsidP="00557071">
                  <w:pPr>
                    <w:jc w:val="center"/>
                  </w:pPr>
                  <w:r w:rsidRPr="00E318EF">
                    <w:t>3</w:t>
                  </w:r>
                </w:p>
              </w:tc>
              <w:tc>
                <w:tcPr>
                  <w:tcW w:w="1675" w:type="dxa"/>
                  <w:shd w:val="clear" w:color="auto" w:fill="auto"/>
                  <w:vAlign w:val="center"/>
                </w:tcPr>
                <w:p w:rsidR="00FE47A6" w:rsidRPr="00E318EF" w:rsidRDefault="00FE47A6" w:rsidP="00557071">
                  <w:pPr>
                    <w:jc w:val="center"/>
                  </w:pPr>
                  <w:r w:rsidRPr="00E318EF">
                    <w:t>2</w:t>
                  </w:r>
                </w:p>
              </w:tc>
              <w:tc>
                <w:tcPr>
                  <w:tcW w:w="1393" w:type="dxa"/>
                  <w:shd w:val="clear" w:color="auto" w:fill="auto"/>
                  <w:vAlign w:val="center"/>
                </w:tcPr>
                <w:p w:rsidR="00FE47A6" w:rsidRDefault="00FE47A6" w:rsidP="00557071">
                  <w:pPr>
                    <w:jc w:val="center"/>
                  </w:pPr>
                  <w:r>
                    <w:t>1</w:t>
                  </w:r>
                </w:p>
              </w:tc>
            </w:tr>
            <w:tr w:rsidR="00F770E8" w:rsidTr="00D6353C">
              <w:trPr>
                <w:trHeight w:val="340"/>
              </w:trPr>
              <w:tc>
                <w:tcPr>
                  <w:tcW w:w="361" w:type="dxa"/>
                  <w:vMerge w:val="restart"/>
                  <w:vAlign w:val="center"/>
                </w:tcPr>
                <w:p w:rsidR="00FE47A6" w:rsidRDefault="00602D33" w:rsidP="00491C4D">
                  <w:pPr>
                    <w:jc w:val="center"/>
                  </w:pPr>
                  <w:r>
                    <w:t>B</w:t>
                  </w:r>
                </w:p>
              </w:tc>
              <w:tc>
                <w:tcPr>
                  <w:tcW w:w="2116" w:type="dxa"/>
                  <w:vMerge w:val="restart"/>
                  <w:shd w:val="clear" w:color="auto" w:fill="auto"/>
                  <w:vAlign w:val="center"/>
                </w:tcPr>
                <w:p w:rsidR="00FE47A6" w:rsidRDefault="00D6353C" w:rsidP="00D6353C">
                  <w:r w:rsidRPr="00D6353C">
                    <w:t xml:space="preserve">Max no. </w:t>
                  </w:r>
                  <w:r>
                    <w:t>c</w:t>
                  </w:r>
                  <w:r w:rsidR="00FE47A6" w:rsidRPr="005C5BCB">
                    <w:t xml:space="preserve">ompletion files </w:t>
                  </w:r>
                  <w:r w:rsidR="00FE47A6">
                    <w:t>outstanding by</w:t>
                  </w:r>
                  <w:r w:rsidR="00FE47A6" w:rsidRPr="005C5BCB">
                    <w:t xml:space="preserve"> D+</w:t>
                  </w:r>
                  <w:r w:rsidR="00602D33">
                    <w:t>25</w:t>
                  </w:r>
                </w:p>
              </w:tc>
              <w:tc>
                <w:tcPr>
                  <w:tcW w:w="1134" w:type="dxa"/>
                  <w:shd w:val="clear" w:color="auto" w:fill="auto"/>
                  <w:vAlign w:val="center"/>
                </w:tcPr>
                <w:p w:rsidR="00FE47A6" w:rsidRDefault="00FE47A6" w:rsidP="00557071">
                  <w:pPr>
                    <w:jc w:val="center"/>
                  </w:pPr>
                  <w:r>
                    <w:t>Large</w:t>
                  </w:r>
                </w:p>
              </w:tc>
              <w:tc>
                <w:tcPr>
                  <w:tcW w:w="5036" w:type="dxa"/>
                  <w:gridSpan w:val="3"/>
                  <w:shd w:val="clear" w:color="auto" w:fill="auto"/>
                  <w:vAlign w:val="center"/>
                </w:tcPr>
                <w:p w:rsidR="00FE47A6" w:rsidRPr="00E318EF" w:rsidRDefault="00FE47A6" w:rsidP="00557071">
                  <w:pPr>
                    <w:jc w:val="center"/>
                  </w:pPr>
                  <w:r w:rsidRPr="00E318EF">
                    <w:t>None</w:t>
                  </w:r>
                </w:p>
              </w:tc>
            </w:tr>
            <w:tr w:rsidR="00F770E8" w:rsidTr="00D6353C">
              <w:trPr>
                <w:trHeight w:val="340"/>
              </w:trPr>
              <w:tc>
                <w:tcPr>
                  <w:tcW w:w="361" w:type="dxa"/>
                  <w:vMerge/>
                  <w:vAlign w:val="center"/>
                </w:tcPr>
                <w:p w:rsidR="00FE47A6" w:rsidRPr="005C5BCB" w:rsidRDefault="00FE47A6" w:rsidP="00491C4D">
                  <w:pPr>
                    <w:jc w:val="center"/>
                  </w:pPr>
                </w:p>
              </w:tc>
              <w:tc>
                <w:tcPr>
                  <w:tcW w:w="2116" w:type="dxa"/>
                  <w:vMerge/>
                  <w:shd w:val="clear" w:color="auto" w:fill="auto"/>
                  <w:vAlign w:val="center"/>
                </w:tcPr>
                <w:p w:rsidR="00FE47A6" w:rsidRPr="005C5BCB" w:rsidRDefault="00FE47A6" w:rsidP="008C5685"/>
              </w:tc>
              <w:tc>
                <w:tcPr>
                  <w:tcW w:w="1134" w:type="dxa"/>
                  <w:shd w:val="clear" w:color="auto" w:fill="auto"/>
                  <w:vAlign w:val="center"/>
                </w:tcPr>
                <w:p w:rsidR="00FE47A6" w:rsidRDefault="00FE47A6" w:rsidP="00557071">
                  <w:pPr>
                    <w:jc w:val="center"/>
                  </w:pPr>
                  <w:r>
                    <w:t>Small</w:t>
                  </w:r>
                </w:p>
              </w:tc>
              <w:tc>
                <w:tcPr>
                  <w:tcW w:w="5036" w:type="dxa"/>
                  <w:gridSpan w:val="3"/>
                  <w:shd w:val="clear" w:color="auto" w:fill="auto"/>
                  <w:vAlign w:val="center"/>
                </w:tcPr>
                <w:p w:rsidR="00FE47A6" w:rsidRPr="00E318EF" w:rsidRDefault="00FE47A6" w:rsidP="00557071">
                  <w:pPr>
                    <w:jc w:val="center"/>
                  </w:pPr>
                  <w:r w:rsidRPr="00E318EF">
                    <w:t>None</w:t>
                  </w:r>
                </w:p>
              </w:tc>
            </w:tr>
            <w:tr w:rsidR="00F770E8" w:rsidTr="00D6353C">
              <w:trPr>
                <w:trHeight w:val="340"/>
              </w:trPr>
              <w:tc>
                <w:tcPr>
                  <w:tcW w:w="361" w:type="dxa"/>
                  <w:vMerge w:val="restart"/>
                  <w:vAlign w:val="center"/>
                </w:tcPr>
                <w:p w:rsidR="00F1258E" w:rsidRPr="005C5BCB" w:rsidRDefault="00602D33" w:rsidP="00491C4D">
                  <w:pPr>
                    <w:jc w:val="center"/>
                  </w:pPr>
                  <w:r>
                    <w:t>C</w:t>
                  </w:r>
                </w:p>
              </w:tc>
              <w:tc>
                <w:tcPr>
                  <w:tcW w:w="2116" w:type="dxa"/>
                  <w:vMerge w:val="restart"/>
                  <w:shd w:val="clear" w:color="auto" w:fill="auto"/>
                  <w:vAlign w:val="center"/>
                </w:tcPr>
                <w:p w:rsidR="00F1258E" w:rsidRPr="005C5BCB" w:rsidRDefault="00D6353C" w:rsidP="00D6353C">
                  <w:r w:rsidRPr="00D6353C">
                    <w:t xml:space="preserve">Max no. </w:t>
                  </w:r>
                  <w:r>
                    <w:t>m</w:t>
                  </w:r>
                  <w:r w:rsidR="00F1258E" w:rsidRPr="00F1258E">
                    <w:t>ajor unauthorised connections</w:t>
                  </w:r>
                </w:p>
              </w:tc>
              <w:tc>
                <w:tcPr>
                  <w:tcW w:w="1134" w:type="dxa"/>
                  <w:shd w:val="clear" w:color="auto" w:fill="auto"/>
                  <w:vAlign w:val="center"/>
                </w:tcPr>
                <w:p w:rsidR="00F1258E" w:rsidRDefault="00F1258E" w:rsidP="00A47EB1">
                  <w:pPr>
                    <w:jc w:val="center"/>
                  </w:pPr>
                  <w:r>
                    <w:t>Large</w:t>
                  </w:r>
                </w:p>
              </w:tc>
              <w:tc>
                <w:tcPr>
                  <w:tcW w:w="5036" w:type="dxa"/>
                  <w:gridSpan w:val="3"/>
                  <w:shd w:val="clear" w:color="auto" w:fill="auto"/>
                  <w:vAlign w:val="center"/>
                </w:tcPr>
                <w:p w:rsidR="00F1258E" w:rsidRPr="00E318EF" w:rsidRDefault="00F1258E" w:rsidP="00A47EB1">
                  <w:pPr>
                    <w:jc w:val="center"/>
                  </w:pPr>
                  <w:r w:rsidRPr="00E318EF">
                    <w:t>None</w:t>
                  </w:r>
                </w:p>
              </w:tc>
            </w:tr>
            <w:tr w:rsidR="00F770E8" w:rsidTr="00D6353C">
              <w:trPr>
                <w:trHeight w:val="340"/>
              </w:trPr>
              <w:tc>
                <w:tcPr>
                  <w:tcW w:w="361" w:type="dxa"/>
                  <w:vMerge/>
                  <w:vAlign w:val="center"/>
                </w:tcPr>
                <w:p w:rsidR="00F1258E" w:rsidRPr="005C5BCB" w:rsidRDefault="00F1258E" w:rsidP="00491C4D">
                  <w:pPr>
                    <w:jc w:val="center"/>
                  </w:pPr>
                </w:p>
              </w:tc>
              <w:tc>
                <w:tcPr>
                  <w:tcW w:w="2116" w:type="dxa"/>
                  <w:vMerge/>
                  <w:shd w:val="clear" w:color="auto" w:fill="auto"/>
                  <w:vAlign w:val="center"/>
                </w:tcPr>
                <w:p w:rsidR="00F1258E" w:rsidRPr="005C5BCB" w:rsidRDefault="00F1258E" w:rsidP="008C5685"/>
              </w:tc>
              <w:tc>
                <w:tcPr>
                  <w:tcW w:w="1134" w:type="dxa"/>
                  <w:shd w:val="clear" w:color="auto" w:fill="auto"/>
                  <w:vAlign w:val="center"/>
                </w:tcPr>
                <w:p w:rsidR="00F1258E" w:rsidRDefault="00F1258E" w:rsidP="00A47EB1">
                  <w:pPr>
                    <w:jc w:val="center"/>
                  </w:pPr>
                  <w:r>
                    <w:t>Small</w:t>
                  </w:r>
                </w:p>
              </w:tc>
              <w:tc>
                <w:tcPr>
                  <w:tcW w:w="5036" w:type="dxa"/>
                  <w:gridSpan w:val="3"/>
                  <w:shd w:val="clear" w:color="auto" w:fill="auto"/>
                  <w:vAlign w:val="center"/>
                </w:tcPr>
                <w:p w:rsidR="00F1258E" w:rsidRPr="00E318EF" w:rsidRDefault="00F1258E" w:rsidP="00A47EB1">
                  <w:pPr>
                    <w:jc w:val="center"/>
                  </w:pPr>
                  <w:r w:rsidRPr="00E318EF">
                    <w:t>None</w:t>
                  </w:r>
                </w:p>
              </w:tc>
            </w:tr>
            <w:tr w:rsidR="00F770E8" w:rsidTr="00F770E8">
              <w:tc>
                <w:tcPr>
                  <w:tcW w:w="361" w:type="dxa"/>
                  <w:vAlign w:val="center"/>
                </w:tcPr>
                <w:p w:rsidR="00F1258E" w:rsidRDefault="00F1258E" w:rsidP="00491C4D">
                  <w:pPr>
                    <w:jc w:val="center"/>
                  </w:pPr>
                </w:p>
              </w:tc>
              <w:tc>
                <w:tcPr>
                  <w:tcW w:w="2116" w:type="dxa"/>
                  <w:shd w:val="clear" w:color="auto" w:fill="auto"/>
                  <w:vAlign w:val="center"/>
                </w:tcPr>
                <w:p w:rsidR="00F1258E" w:rsidRDefault="008B1530" w:rsidP="008B1530">
                  <w:r>
                    <w:t>Dates applicable</w:t>
                  </w:r>
                </w:p>
              </w:tc>
              <w:tc>
                <w:tcPr>
                  <w:tcW w:w="1134" w:type="dxa"/>
                  <w:shd w:val="clear" w:color="auto" w:fill="auto"/>
                  <w:vAlign w:val="center"/>
                </w:tcPr>
                <w:p w:rsidR="00F1258E" w:rsidRDefault="008B1530" w:rsidP="00557071">
                  <w:pPr>
                    <w:jc w:val="center"/>
                  </w:pPr>
                  <w:r>
                    <w:t>All</w:t>
                  </w:r>
                </w:p>
              </w:tc>
              <w:tc>
                <w:tcPr>
                  <w:tcW w:w="1968" w:type="dxa"/>
                  <w:shd w:val="clear" w:color="auto" w:fill="auto"/>
                  <w:vAlign w:val="center"/>
                </w:tcPr>
                <w:p w:rsidR="00F1258E" w:rsidRPr="00E318EF" w:rsidRDefault="008B1530" w:rsidP="008B1530">
                  <w:pPr>
                    <w:jc w:val="center"/>
                  </w:pPr>
                  <w:r w:rsidRPr="008B1530">
                    <w:t>From 4</w:t>
                  </w:r>
                  <w:r w:rsidRPr="008B1530">
                    <w:rPr>
                      <w:vertAlign w:val="superscript"/>
                    </w:rPr>
                    <w:t>th</w:t>
                  </w:r>
                  <w:r>
                    <w:t xml:space="preserve"> </w:t>
                  </w:r>
                  <w:r w:rsidRPr="008B1530">
                    <w:t>August 2014 to 30</w:t>
                  </w:r>
                  <w:r w:rsidRPr="008B1530">
                    <w:rPr>
                      <w:vertAlign w:val="superscript"/>
                    </w:rPr>
                    <w:t>th</w:t>
                  </w:r>
                  <w:r>
                    <w:t xml:space="preserve"> </w:t>
                  </w:r>
                  <w:r w:rsidRPr="008B1530">
                    <w:t>November 2014</w:t>
                  </w:r>
                </w:p>
              </w:tc>
              <w:tc>
                <w:tcPr>
                  <w:tcW w:w="1675" w:type="dxa"/>
                  <w:shd w:val="clear" w:color="auto" w:fill="auto"/>
                  <w:vAlign w:val="center"/>
                </w:tcPr>
                <w:p w:rsidR="00F1258E" w:rsidRPr="00E318EF" w:rsidRDefault="008B1530" w:rsidP="008B1530">
                  <w:pPr>
                    <w:jc w:val="center"/>
                  </w:pPr>
                  <w:r w:rsidRPr="008B1530">
                    <w:t>1</w:t>
                  </w:r>
                  <w:r w:rsidRPr="008B1530">
                    <w:rPr>
                      <w:vertAlign w:val="superscript"/>
                    </w:rPr>
                    <w:t>st</w:t>
                  </w:r>
                  <w:r>
                    <w:t xml:space="preserve"> </w:t>
                  </w:r>
                  <w:r w:rsidRPr="008B1530">
                    <w:t>December 2014 to 31</w:t>
                  </w:r>
                  <w:r w:rsidRPr="008B1530">
                    <w:rPr>
                      <w:vertAlign w:val="superscript"/>
                    </w:rPr>
                    <w:t>st</w:t>
                  </w:r>
                  <w:r>
                    <w:t xml:space="preserve"> </w:t>
                  </w:r>
                  <w:r w:rsidRPr="008B1530">
                    <w:t>March 2015</w:t>
                  </w:r>
                </w:p>
              </w:tc>
              <w:tc>
                <w:tcPr>
                  <w:tcW w:w="1393" w:type="dxa"/>
                  <w:shd w:val="clear" w:color="auto" w:fill="auto"/>
                  <w:vAlign w:val="center"/>
                </w:tcPr>
                <w:p w:rsidR="00F1258E" w:rsidRDefault="008B1530" w:rsidP="008B1530">
                  <w:pPr>
                    <w:jc w:val="center"/>
                  </w:pPr>
                  <w:r w:rsidRPr="008B1530">
                    <w:t>From 1</w:t>
                  </w:r>
                  <w:r w:rsidRPr="008B1530">
                    <w:rPr>
                      <w:vertAlign w:val="superscript"/>
                    </w:rPr>
                    <w:t>st</w:t>
                  </w:r>
                  <w:r>
                    <w:t xml:space="preserve"> </w:t>
                  </w:r>
                  <w:r w:rsidRPr="008B1530">
                    <w:t>April 2015</w:t>
                  </w:r>
                </w:p>
              </w:tc>
            </w:tr>
          </w:tbl>
          <w:p w:rsidR="000A7487" w:rsidRDefault="00C832A2" w:rsidP="00E318EF">
            <w:pPr>
              <w:jc w:val="both"/>
            </w:pPr>
            <w:r>
              <w:t xml:space="preserve">   </w:t>
            </w:r>
          </w:p>
        </w:tc>
      </w:tr>
      <w:tr w:rsidR="00AA4A35" w:rsidTr="004829C1">
        <w:tc>
          <w:tcPr>
            <w:tcW w:w="9394" w:type="dxa"/>
            <w:tcBorders>
              <w:left w:val="nil"/>
              <w:bottom w:val="single" w:sz="4" w:space="0" w:color="auto"/>
              <w:right w:val="nil"/>
            </w:tcBorders>
            <w:shd w:val="clear" w:color="auto" w:fill="auto"/>
          </w:tcPr>
          <w:p w:rsidR="00A71527" w:rsidRPr="0068079E" w:rsidRDefault="00A71527" w:rsidP="00822CBB">
            <w:pPr>
              <w:rPr>
                <w:b/>
                <w:bCs/>
                <w:u w:val="single"/>
              </w:rPr>
            </w:pPr>
          </w:p>
        </w:tc>
      </w:tr>
      <w:tr w:rsidR="00404679" w:rsidTr="004829C1">
        <w:tc>
          <w:tcPr>
            <w:tcW w:w="9394" w:type="dxa"/>
            <w:shd w:val="clear" w:color="auto" w:fill="0079C1"/>
          </w:tcPr>
          <w:p w:rsidR="00B261F0" w:rsidRPr="0068079E" w:rsidRDefault="00B261F0" w:rsidP="00822CBB">
            <w:pPr>
              <w:rPr>
                <w:b/>
                <w:bCs/>
                <w:color w:val="FFFFFF"/>
                <w:u w:val="single"/>
              </w:rPr>
            </w:pPr>
          </w:p>
          <w:p w:rsidR="00404679" w:rsidRPr="00BF301C" w:rsidRDefault="008D200D" w:rsidP="00BF301C">
            <w:pPr>
              <w:pStyle w:val="ListParagraph"/>
              <w:numPr>
                <w:ilvl w:val="0"/>
                <w:numId w:val="9"/>
              </w:numPr>
              <w:rPr>
                <w:b/>
                <w:bCs/>
                <w:color w:val="FFFFFF"/>
                <w:u w:val="single"/>
              </w:rPr>
            </w:pPr>
            <w:r>
              <w:rPr>
                <w:b/>
                <w:bCs/>
                <w:color w:val="FFFFFF"/>
                <w:u w:val="single"/>
              </w:rPr>
              <w:t>Performance Management Process</w:t>
            </w:r>
          </w:p>
          <w:p w:rsidR="00B261F0" w:rsidRPr="0068079E" w:rsidRDefault="00B261F0" w:rsidP="00822CBB">
            <w:pPr>
              <w:rPr>
                <w:b/>
                <w:bCs/>
                <w:color w:val="FFFFFF"/>
                <w:u w:val="single"/>
              </w:rPr>
            </w:pPr>
          </w:p>
        </w:tc>
      </w:tr>
      <w:tr w:rsidR="00404679" w:rsidTr="004829C1">
        <w:tc>
          <w:tcPr>
            <w:tcW w:w="9394" w:type="dxa"/>
            <w:tcBorders>
              <w:bottom w:val="single" w:sz="4" w:space="0" w:color="auto"/>
            </w:tcBorders>
            <w:shd w:val="clear" w:color="auto" w:fill="auto"/>
          </w:tcPr>
          <w:p w:rsidR="00B261F0" w:rsidRDefault="00B261F0" w:rsidP="0068079E">
            <w:pPr>
              <w:jc w:val="both"/>
            </w:pPr>
          </w:p>
          <w:p w:rsidR="00B34840" w:rsidRDefault="00934D81" w:rsidP="0068079E">
            <w:pPr>
              <w:jc w:val="both"/>
            </w:pPr>
            <w:r>
              <w:t xml:space="preserve">To ensure that </w:t>
            </w:r>
            <w:r w:rsidR="00B34840">
              <w:t>c</w:t>
            </w:r>
            <w:r>
              <w:t>lause 3.10</w:t>
            </w:r>
            <w:r w:rsidR="00B34840">
              <w:t xml:space="preserve"> (or 3.2.10 for IGT customers)</w:t>
            </w:r>
            <w:r>
              <w:t xml:space="preserve"> is applied fairly and consistently</w:t>
            </w:r>
            <w:r w:rsidR="00B34840">
              <w:t>, National Grid will apply the below process when</w:t>
            </w:r>
            <w:r w:rsidR="008D200D">
              <w:t xml:space="preserve"> the</w:t>
            </w:r>
            <w:r w:rsidR="00B34840">
              <w:t xml:space="preserve"> </w:t>
            </w:r>
            <w:r w:rsidR="00C1155D">
              <w:t xml:space="preserve">confirmed </w:t>
            </w:r>
            <w:r w:rsidR="00B34840">
              <w:t xml:space="preserve">monthly data is sent to </w:t>
            </w:r>
            <w:r w:rsidR="00764365">
              <w:t>customers</w:t>
            </w:r>
            <w:r w:rsidR="00B34840">
              <w:t>;</w:t>
            </w:r>
          </w:p>
          <w:p w:rsidR="00A0621E" w:rsidRDefault="00A0621E" w:rsidP="006807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208"/>
            </w:tblGrid>
            <w:tr w:rsidR="00EE25E5" w:rsidTr="00557071">
              <w:tc>
                <w:tcPr>
                  <w:tcW w:w="1201" w:type="dxa"/>
                  <w:shd w:val="clear" w:color="auto" w:fill="D9D9D9"/>
                  <w:vAlign w:val="center"/>
                </w:tcPr>
                <w:p w:rsidR="00EE25E5" w:rsidRPr="00E318EF" w:rsidRDefault="00EE25E5" w:rsidP="00557071">
                  <w:pPr>
                    <w:jc w:val="center"/>
                    <w:rPr>
                      <w:b/>
                    </w:rPr>
                  </w:pPr>
                  <w:r w:rsidRPr="00557071">
                    <w:rPr>
                      <w:b/>
                    </w:rPr>
                    <w:t>Step</w:t>
                  </w:r>
                </w:p>
              </w:tc>
              <w:tc>
                <w:tcPr>
                  <w:tcW w:w="7208" w:type="dxa"/>
                  <w:shd w:val="clear" w:color="auto" w:fill="D9D9D9"/>
                  <w:vAlign w:val="center"/>
                </w:tcPr>
                <w:p w:rsidR="00EE25E5" w:rsidRPr="00E318EF" w:rsidRDefault="00EE25E5" w:rsidP="00557071">
                  <w:pPr>
                    <w:jc w:val="center"/>
                    <w:rPr>
                      <w:b/>
                    </w:rPr>
                  </w:pPr>
                  <w:r w:rsidRPr="00557071">
                    <w:rPr>
                      <w:b/>
                    </w:rPr>
                    <w:t>Action</w:t>
                  </w:r>
                </w:p>
              </w:tc>
            </w:tr>
            <w:tr w:rsidR="00EE25E5" w:rsidTr="00557071">
              <w:tc>
                <w:tcPr>
                  <w:tcW w:w="1201" w:type="dxa"/>
                  <w:shd w:val="clear" w:color="auto" w:fill="auto"/>
                  <w:vAlign w:val="center"/>
                </w:tcPr>
                <w:p w:rsidR="00EE25E5" w:rsidRDefault="00EE25E5" w:rsidP="00557071">
                  <w:pPr>
                    <w:jc w:val="center"/>
                  </w:pPr>
                  <w:r>
                    <w:t>3</w:t>
                  </w:r>
                </w:p>
              </w:tc>
              <w:tc>
                <w:tcPr>
                  <w:tcW w:w="7208" w:type="dxa"/>
                  <w:shd w:val="clear" w:color="auto" w:fill="auto"/>
                  <w:vAlign w:val="center"/>
                </w:tcPr>
                <w:p w:rsidR="00EE25E5" w:rsidRDefault="00EE25E5" w:rsidP="00470BD0">
                  <w:r>
                    <w:t>Clause 3.10 enacted and National Grid’s permission to work withdraw</w:t>
                  </w:r>
                  <w:r w:rsidR="006F5BEC">
                    <w:t>n for any works not accepted (new and existing requests)</w:t>
                  </w:r>
                  <w:r>
                    <w:t xml:space="preserve">. Permission will continue to be withdrawn until </w:t>
                  </w:r>
                  <w:r w:rsidR="00470BD0" w:rsidRPr="00470BD0">
                    <w:t>all outstanding completion files are returned to and accepted by National Grid.</w:t>
                  </w:r>
                </w:p>
              </w:tc>
            </w:tr>
            <w:tr w:rsidR="00EE25E5" w:rsidTr="00557071">
              <w:tc>
                <w:tcPr>
                  <w:tcW w:w="1201" w:type="dxa"/>
                  <w:shd w:val="clear" w:color="auto" w:fill="auto"/>
                  <w:vAlign w:val="center"/>
                </w:tcPr>
                <w:p w:rsidR="00EE25E5" w:rsidRDefault="00EE25E5" w:rsidP="00557071">
                  <w:pPr>
                    <w:jc w:val="center"/>
                  </w:pPr>
                  <w:r>
                    <w:t>2</w:t>
                  </w:r>
                </w:p>
              </w:tc>
              <w:tc>
                <w:tcPr>
                  <w:tcW w:w="7208" w:type="dxa"/>
                  <w:shd w:val="clear" w:color="auto" w:fill="auto"/>
                  <w:vAlign w:val="center"/>
                </w:tcPr>
                <w:p w:rsidR="00EE25E5" w:rsidRDefault="00FA3231" w:rsidP="00EE25E5">
                  <w:r w:rsidRPr="00FA3231">
                    <w:t>Notice for improvement issued to the customer by formal letter. This letter will require the customer to acknowledge the un</w:t>
                  </w:r>
                  <w:r w:rsidR="008D200D">
                    <w:t>der-performance and implement</w:t>
                  </w:r>
                  <w:r w:rsidRPr="00FA3231">
                    <w:t xml:space="preserve"> a plan for improvement. This acknowledgment and performance improvement plan is to be confirmed by counter-signing and returning the formal letter back to National Grid. Failure to return this letter within 10 working days will result in step 3 being enacted.</w:t>
                  </w:r>
                </w:p>
              </w:tc>
            </w:tr>
            <w:tr w:rsidR="00EE25E5" w:rsidTr="00557071">
              <w:tc>
                <w:tcPr>
                  <w:tcW w:w="1201" w:type="dxa"/>
                  <w:shd w:val="clear" w:color="auto" w:fill="auto"/>
                  <w:vAlign w:val="center"/>
                </w:tcPr>
                <w:p w:rsidR="00EE25E5" w:rsidRDefault="00EE25E5" w:rsidP="00557071">
                  <w:pPr>
                    <w:jc w:val="center"/>
                  </w:pPr>
                  <w:r>
                    <w:t>1</w:t>
                  </w:r>
                </w:p>
              </w:tc>
              <w:tc>
                <w:tcPr>
                  <w:tcW w:w="7208" w:type="dxa"/>
                  <w:shd w:val="clear" w:color="auto" w:fill="auto"/>
                  <w:vAlign w:val="center"/>
                </w:tcPr>
                <w:p w:rsidR="00EE25E5" w:rsidRDefault="00EE25E5" w:rsidP="00EE25E5">
                  <w:r>
                    <w:t>Reminder of obligations under the Agreement and regular interface to support performance improvement.</w:t>
                  </w:r>
                </w:p>
              </w:tc>
            </w:tr>
            <w:tr w:rsidR="00EE25E5" w:rsidTr="00557071">
              <w:tc>
                <w:tcPr>
                  <w:tcW w:w="1201" w:type="dxa"/>
                  <w:shd w:val="clear" w:color="auto" w:fill="auto"/>
                  <w:vAlign w:val="center"/>
                </w:tcPr>
                <w:p w:rsidR="00EE25E5" w:rsidRDefault="00EE25E5" w:rsidP="00557071">
                  <w:pPr>
                    <w:jc w:val="center"/>
                  </w:pPr>
                  <w:r>
                    <w:t>0</w:t>
                  </w:r>
                </w:p>
              </w:tc>
              <w:tc>
                <w:tcPr>
                  <w:tcW w:w="7208" w:type="dxa"/>
                  <w:shd w:val="clear" w:color="auto" w:fill="auto"/>
                  <w:vAlign w:val="center"/>
                </w:tcPr>
                <w:p w:rsidR="00EE25E5" w:rsidRDefault="00EE25E5" w:rsidP="00EE25E5">
                  <w:r>
                    <w:t>Customer meeting obligations, no corrective action required.</w:t>
                  </w:r>
                </w:p>
              </w:tc>
            </w:tr>
          </w:tbl>
          <w:p w:rsidR="00934D81" w:rsidRDefault="00934D81" w:rsidP="0068079E">
            <w:pPr>
              <w:jc w:val="both"/>
            </w:pPr>
          </w:p>
          <w:p w:rsidR="00D56273" w:rsidRDefault="00EE25E5" w:rsidP="00D56273">
            <w:pPr>
              <w:jc w:val="both"/>
            </w:pPr>
            <w:r>
              <w:t>For each month</w:t>
            </w:r>
            <w:r w:rsidR="000F209F">
              <w:t xml:space="preserve">, if the customer </w:t>
            </w:r>
            <w:r>
              <w:t>is non-compliant</w:t>
            </w:r>
            <w:r w:rsidR="000F209F">
              <w:t xml:space="preserve"> against </w:t>
            </w:r>
            <w:r w:rsidR="000F209F" w:rsidRPr="00563CAD">
              <w:rPr>
                <w:u w:val="single"/>
              </w:rPr>
              <w:t>any of the m</w:t>
            </w:r>
            <w:r w:rsidR="00D56273">
              <w:rPr>
                <w:u w:val="single"/>
              </w:rPr>
              <w:t>etrics</w:t>
            </w:r>
            <w:r>
              <w:t xml:space="preserve">, they will be moved up the </w:t>
            </w:r>
            <w:r>
              <w:lastRenderedPageBreak/>
              <w:t>process one step until step 3 is reached</w:t>
            </w:r>
            <w:r w:rsidR="000F209F">
              <w:t>.</w:t>
            </w:r>
            <w:r>
              <w:t xml:space="preserve"> </w:t>
            </w:r>
            <w:r w:rsidR="000F209F">
              <w:t>F</w:t>
            </w:r>
            <w:r>
              <w:t>or every month the customer is compliant</w:t>
            </w:r>
            <w:r w:rsidR="000F209F">
              <w:t xml:space="preserve"> (i.e. </w:t>
            </w:r>
            <w:r w:rsidR="000F209F" w:rsidRPr="00563CAD">
              <w:rPr>
                <w:u w:val="single"/>
              </w:rPr>
              <w:t>meets all the me</w:t>
            </w:r>
            <w:r w:rsidR="00D56273">
              <w:rPr>
                <w:u w:val="single"/>
              </w:rPr>
              <w:t>trics</w:t>
            </w:r>
            <w:r w:rsidR="000F209F">
              <w:t>)</w:t>
            </w:r>
            <w:r>
              <w:t>, they will be moved down a step until step 0 is reached</w:t>
            </w:r>
            <w:r w:rsidR="00061FB2">
              <w:t>.</w:t>
            </w:r>
            <w:r w:rsidR="00D56273">
              <w:t xml:space="preserve"> </w:t>
            </w:r>
            <w:r w:rsidR="00AD312A">
              <w:t xml:space="preserve">If </w:t>
            </w:r>
            <w:r w:rsidR="00AD312A" w:rsidRPr="00D56273">
              <w:t>step 3 is reached, the customer will be kept at step 3 until</w:t>
            </w:r>
            <w:r w:rsidR="00D56273" w:rsidRPr="00D56273">
              <w:t xml:space="preserve"> </w:t>
            </w:r>
            <w:r w:rsidR="000A7487">
              <w:t>all outstanding completion files are returned to and accepted by National Grid</w:t>
            </w:r>
            <w:r w:rsidR="00D56273" w:rsidRPr="00D56273">
              <w:t>.</w:t>
            </w:r>
          </w:p>
          <w:p w:rsidR="000A7487" w:rsidRDefault="000A7487" w:rsidP="00D56273">
            <w:pPr>
              <w:jc w:val="both"/>
            </w:pPr>
          </w:p>
          <w:p w:rsidR="00404679" w:rsidRDefault="000A7487" w:rsidP="00D56273">
            <w:pPr>
              <w:jc w:val="both"/>
            </w:pPr>
            <w:r>
              <w:t xml:space="preserve">New signatories to the </w:t>
            </w:r>
            <w:r w:rsidRPr="000A7487">
              <w:t>‘UIP Connection, Service Disconnection &amp; Service Alteration Agreement’ or ‘Inter-Gas Transporter Connection Agreement’</w:t>
            </w:r>
            <w:r>
              <w:t xml:space="preserve"> will be given a 3 month period of grace from the date of signing. During this period of grace, performance will be measured against the appropriate metrics but the above process will be capped to step </w:t>
            </w:r>
            <w:r w:rsidR="00470BD0">
              <w:t>1</w:t>
            </w:r>
            <w:r w:rsidR="008D200D">
              <w:t>.</w:t>
            </w:r>
            <w:r>
              <w:t xml:space="preserve"> </w:t>
            </w:r>
            <w:r w:rsidR="008D200D">
              <w:t>F</w:t>
            </w:r>
            <w:r>
              <w:t xml:space="preserve">or the avoidance of doubt, after the grace period </w:t>
            </w:r>
            <w:r w:rsidR="00470BD0">
              <w:t>the process will be enacted fully</w:t>
            </w:r>
            <w:r w:rsidR="008D200D">
              <w:t xml:space="preserve"> as</w:t>
            </w:r>
            <w:r>
              <w:t xml:space="preserve"> required.</w:t>
            </w:r>
          </w:p>
          <w:p w:rsidR="00C21151" w:rsidRPr="00C21151" w:rsidRDefault="00C21151" w:rsidP="00D56273">
            <w:pPr>
              <w:jc w:val="both"/>
            </w:pPr>
          </w:p>
        </w:tc>
      </w:tr>
      <w:tr w:rsidR="004829C1" w:rsidTr="004829C1">
        <w:tc>
          <w:tcPr>
            <w:tcW w:w="9394" w:type="dxa"/>
            <w:tcBorders>
              <w:left w:val="nil"/>
              <w:bottom w:val="single" w:sz="4" w:space="0" w:color="auto"/>
              <w:right w:val="nil"/>
            </w:tcBorders>
            <w:shd w:val="clear" w:color="auto" w:fill="auto"/>
          </w:tcPr>
          <w:p w:rsidR="004829C1" w:rsidRDefault="004829C1" w:rsidP="0068079E">
            <w:pPr>
              <w:jc w:val="both"/>
            </w:pPr>
          </w:p>
        </w:tc>
      </w:tr>
      <w:tr w:rsidR="00D96097" w:rsidRPr="0068079E" w:rsidTr="004829C1">
        <w:tc>
          <w:tcPr>
            <w:tcW w:w="9394" w:type="dxa"/>
            <w:shd w:val="clear" w:color="auto" w:fill="0079C1"/>
          </w:tcPr>
          <w:p w:rsidR="00D96097" w:rsidRPr="0068079E" w:rsidRDefault="00D96097" w:rsidP="00A505DC">
            <w:pPr>
              <w:rPr>
                <w:b/>
                <w:bCs/>
                <w:color w:val="FFFFFF"/>
                <w:u w:val="single"/>
              </w:rPr>
            </w:pPr>
          </w:p>
          <w:p w:rsidR="00D96097" w:rsidRPr="00BF301C" w:rsidRDefault="00D96097" w:rsidP="00BF301C">
            <w:pPr>
              <w:pStyle w:val="ListParagraph"/>
              <w:numPr>
                <w:ilvl w:val="0"/>
                <w:numId w:val="9"/>
              </w:numPr>
              <w:rPr>
                <w:b/>
                <w:bCs/>
                <w:color w:val="FFFFFF"/>
                <w:u w:val="single"/>
              </w:rPr>
            </w:pPr>
            <w:r w:rsidRPr="00BF301C">
              <w:rPr>
                <w:b/>
                <w:bCs/>
                <w:color w:val="FFFFFF"/>
                <w:u w:val="single"/>
              </w:rPr>
              <w:t xml:space="preserve">Process </w:t>
            </w:r>
            <w:r w:rsidR="00C832A2" w:rsidRPr="00BF301C">
              <w:rPr>
                <w:b/>
                <w:bCs/>
                <w:color w:val="FFFFFF"/>
                <w:u w:val="single"/>
              </w:rPr>
              <w:t>for querying National Grid MI</w:t>
            </w:r>
          </w:p>
          <w:p w:rsidR="00D96097" w:rsidRPr="0068079E" w:rsidRDefault="00D96097" w:rsidP="00A505DC">
            <w:pPr>
              <w:rPr>
                <w:b/>
                <w:bCs/>
                <w:color w:val="FFFFFF"/>
                <w:u w:val="single"/>
              </w:rPr>
            </w:pPr>
          </w:p>
        </w:tc>
      </w:tr>
      <w:tr w:rsidR="00D96097" w:rsidRPr="0068079E" w:rsidTr="004829C1">
        <w:tc>
          <w:tcPr>
            <w:tcW w:w="9394" w:type="dxa"/>
            <w:tcBorders>
              <w:bottom w:val="single" w:sz="4" w:space="0" w:color="auto"/>
            </w:tcBorders>
            <w:shd w:val="clear" w:color="auto" w:fill="auto"/>
          </w:tcPr>
          <w:p w:rsidR="00D96097" w:rsidRDefault="00D96097" w:rsidP="00A505DC">
            <w:pPr>
              <w:jc w:val="both"/>
            </w:pPr>
          </w:p>
          <w:p w:rsidR="006E2681" w:rsidRDefault="00C832A2" w:rsidP="00A505DC">
            <w:pPr>
              <w:jc w:val="both"/>
            </w:pPr>
            <w:r>
              <w:t xml:space="preserve">To help support and manage the above process and performance levels, </w:t>
            </w:r>
            <w:r w:rsidRPr="00C832A2">
              <w:t xml:space="preserve">National Grid will send Management Information (MI) to </w:t>
            </w:r>
            <w:r w:rsidR="00764365">
              <w:t>customers</w:t>
            </w:r>
            <w:r w:rsidRPr="00C832A2">
              <w:t xml:space="preserve"> </w:t>
            </w:r>
            <w:r>
              <w:t xml:space="preserve">by </w:t>
            </w:r>
            <w:r w:rsidR="00470BD0">
              <w:t>the 3</w:t>
            </w:r>
            <w:r w:rsidR="00470BD0" w:rsidRPr="00470BD0">
              <w:rPr>
                <w:vertAlign w:val="superscript"/>
              </w:rPr>
              <w:t>rd</w:t>
            </w:r>
            <w:r w:rsidR="00470BD0">
              <w:t xml:space="preserve"> working day of</w:t>
            </w:r>
            <w:r>
              <w:t xml:space="preserve"> each calendar month with details of the Completion Files outstanding and</w:t>
            </w:r>
            <w:r w:rsidR="00764365">
              <w:t xml:space="preserve"> an</w:t>
            </w:r>
            <w:r>
              <w:t xml:space="preserve"> initial indication of if performance was satisfactory</w:t>
            </w:r>
            <w:r w:rsidR="006E2681">
              <w:t xml:space="preserve"> during the </w:t>
            </w:r>
            <w:r w:rsidR="00D56273">
              <w:t xml:space="preserve">preceding </w:t>
            </w:r>
            <w:r w:rsidR="006E2681">
              <w:t>month</w:t>
            </w:r>
            <w:r>
              <w:t xml:space="preserve">. </w:t>
            </w:r>
          </w:p>
          <w:p w:rsidR="006E2681" w:rsidRDefault="006E2681" w:rsidP="00A505DC">
            <w:pPr>
              <w:jc w:val="both"/>
            </w:pPr>
          </w:p>
          <w:p w:rsidR="00D96097" w:rsidRDefault="00C832A2" w:rsidP="00675E56">
            <w:pPr>
              <w:jc w:val="both"/>
            </w:pPr>
            <w:r>
              <w:t xml:space="preserve">The </w:t>
            </w:r>
            <w:r w:rsidR="00764365">
              <w:t>customer</w:t>
            </w:r>
            <w:r>
              <w:t xml:space="preserve"> will then have </w:t>
            </w:r>
            <w:r w:rsidRPr="00470BD0">
              <w:t>5 working days</w:t>
            </w:r>
            <w:r>
              <w:t xml:space="preserve"> </w:t>
            </w:r>
            <w:r w:rsidR="006E2681">
              <w:t xml:space="preserve">to </w:t>
            </w:r>
            <w:r>
              <w:t xml:space="preserve">provide additional information or query National Grid’s MI before confirmation of the </w:t>
            </w:r>
            <w:r w:rsidR="006E2681">
              <w:t xml:space="preserve">months </w:t>
            </w:r>
            <w:r>
              <w:t xml:space="preserve">performance </w:t>
            </w:r>
            <w:r w:rsidR="006E2681">
              <w:t xml:space="preserve">is provided </w:t>
            </w:r>
            <w:r w:rsidR="00C1155D">
              <w:t xml:space="preserve">by National Grid </w:t>
            </w:r>
            <w:r w:rsidR="006E2681">
              <w:t>based upon information/queries received</w:t>
            </w:r>
            <w:r>
              <w:t>.</w:t>
            </w:r>
            <w:r w:rsidRPr="00C832A2">
              <w:t xml:space="preserve"> </w:t>
            </w:r>
            <w:r w:rsidR="00764365">
              <w:t>This confirmed data will be used in the process described above for enacting clause 3.10.</w:t>
            </w:r>
            <w:r w:rsidR="00470BD0">
              <w:t xml:space="preserve"> Acceptances that require re-plans or deferrals will be included in the outstanding completion file figures unless National Grid is notified in advance of the </w:t>
            </w:r>
            <w:r w:rsidR="00911259">
              <w:t xml:space="preserve">initial </w:t>
            </w:r>
            <w:r w:rsidR="00470BD0">
              <w:t>data being produced.</w:t>
            </w:r>
          </w:p>
          <w:p w:rsidR="00C21151" w:rsidRPr="00675E56" w:rsidRDefault="00C21151" w:rsidP="00675E56">
            <w:pPr>
              <w:jc w:val="both"/>
            </w:pPr>
          </w:p>
        </w:tc>
      </w:tr>
      <w:tr w:rsidR="00AA4A35" w:rsidTr="004829C1">
        <w:tc>
          <w:tcPr>
            <w:tcW w:w="9394" w:type="dxa"/>
            <w:tcBorders>
              <w:left w:val="nil"/>
              <w:right w:val="nil"/>
            </w:tcBorders>
            <w:shd w:val="clear" w:color="auto" w:fill="auto"/>
          </w:tcPr>
          <w:p w:rsidR="00274573" w:rsidRDefault="00274573" w:rsidP="0068079E">
            <w:pPr>
              <w:jc w:val="both"/>
            </w:pPr>
          </w:p>
        </w:tc>
      </w:tr>
      <w:tr w:rsidR="00404679" w:rsidTr="004829C1">
        <w:tc>
          <w:tcPr>
            <w:tcW w:w="9394" w:type="dxa"/>
            <w:shd w:val="clear" w:color="auto" w:fill="0079C1"/>
          </w:tcPr>
          <w:p w:rsidR="00B261F0" w:rsidRPr="0068079E" w:rsidRDefault="00B261F0" w:rsidP="00822CBB">
            <w:pPr>
              <w:rPr>
                <w:b/>
                <w:bCs/>
                <w:color w:val="FFFFFF"/>
                <w:u w:val="single"/>
              </w:rPr>
            </w:pPr>
          </w:p>
          <w:p w:rsidR="00404679" w:rsidRPr="00BF301C" w:rsidRDefault="000A4984" w:rsidP="00BF301C">
            <w:pPr>
              <w:pStyle w:val="ListParagraph"/>
              <w:numPr>
                <w:ilvl w:val="0"/>
                <w:numId w:val="9"/>
              </w:numPr>
              <w:rPr>
                <w:b/>
                <w:bCs/>
                <w:color w:val="FFFFFF"/>
                <w:u w:val="single"/>
              </w:rPr>
            </w:pPr>
            <w:r w:rsidRPr="00BF301C">
              <w:rPr>
                <w:b/>
                <w:bCs/>
                <w:color w:val="FFFFFF"/>
                <w:u w:val="single"/>
              </w:rPr>
              <w:t>Implementation</w:t>
            </w:r>
            <w:r w:rsidR="00AB2EC2" w:rsidRPr="00BF301C">
              <w:rPr>
                <w:b/>
                <w:bCs/>
                <w:color w:val="FFFFFF"/>
                <w:u w:val="single"/>
              </w:rPr>
              <w:t xml:space="preserve"> and </w:t>
            </w:r>
            <w:r w:rsidR="00D56273" w:rsidRPr="00BF301C">
              <w:rPr>
                <w:b/>
                <w:bCs/>
                <w:color w:val="FFFFFF"/>
                <w:u w:val="single"/>
              </w:rPr>
              <w:t>n</w:t>
            </w:r>
            <w:r w:rsidR="00D96097" w:rsidRPr="00BF301C">
              <w:rPr>
                <w:b/>
                <w:bCs/>
                <w:color w:val="FFFFFF"/>
                <w:u w:val="single"/>
              </w:rPr>
              <w:t>otification of f</w:t>
            </w:r>
            <w:r w:rsidR="00AB2EC2" w:rsidRPr="00BF301C">
              <w:rPr>
                <w:b/>
                <w:bCs/>
                <w:color w:val="FFFFFF"/>
                <w:u w:val="single"/>
              </w:rPr>
              <w:t>uture changes.</w:t>
            </w:r>
          </w:p>
          <w:p w:rsidR="00B261F0" w:rsidRPr="0068079E" w:rsidRDefault="00B261F0" w:rsidP="00822CBB">
            <w:pPr>
              <w:rPr>
                <w:b/>
                <w:bCs/>
                <w:color w:val="FFFFFF"/>
                <w:u w:val="single"/>
              </w:rPr>
            </w:pPr>
          </w:p>
        </w:tc>
      </w:tr>
      <w:tr w:rsidR="00404679" w:rsidTr="004829C1">
        <w:tc>
          <w:tcPr>
            <w:tcW w:w="9394" w:type="dxa"/>
            <w:tcBorders>
              <w:bottom w:val="single" w:sz="4" w:space="0" w:color="auto"/>
            </w:tcBorders>
            <w:shd w:val="clear" w:color="auto" w:fill="auto"/>
          </w:tcPr>
          <w:p w:rsidR="00630D23" w:rsidRDefault="00630D23" w:rsidP="0068079E">
            <w:pPr>
              <w:jc w:val="both"/>
            </w:pPr>
          </w:p>
          <w:p w:rsidR="00AA4A35" w:rsidRDefault="00843FBB" w:rsidP="00226757">
            <w:pPr>
              <w:jc w:val="both"/>
            </w:pPr>
            <w:r>
              <w:t xml:space="preserve">This </w:t>
            </w:r>
            <w:r w:rsidR="00915140">
              <w:t>document</w:t>
            </w:r>
            <w:r>
              <w:t xml:space="preserve"> is to be implemented </w:t>
            </w:r>
            <w:r w:rsidR="00C1155D">
              <w:t>with immediate effect with performance levels be</w:t>
            </w:r>
            <w:r w:rsidR="00764365">
              <w:t>ing</w:t>
            </w:r>
            <w:r w:rsidR="00C1155D">
              <w:t xml:space="preserve"> implemented to the time scales listed in the ratchet mechanism.</w:t>
            </w:r>
            <w:r w:rsidR="00AB2EC2">
              <w:t xml:space="preserve"> National Grid reserve</w:t>
            </w:r>
            <w:r w:rsidR="00764365">
              <w:t>s</w:t>
            </w:r>
            <w:r w:rsidR="00AB2EC2">
              <w:t xml:space="preserve"> the right to change the policy and the associated performance levels providing no less than 3 months’ notice of such changes.</w:t>
            </w:r>
            <w:r w:rsidR="00D96097">
              <w:t xml:space="preserve"> </w:t>
            </w:r>
          </w:p>
          <w:p w:rsidR="00404679" w:rsidRPr="00E76991" w:rsidRDefault="00B261F0" w:rsidP="00226757">
            <w:pPr>
              <w:jc w:val="both"/>
            </w:pPr>
            <w:r>
              <w:t xml:space="preserve"> </w:t>
            </w:r>
          </w:p>
        </w:tc>
      </w:tr>
      <w:tr w:rsidR="00AA4A35" w:rsidTr="004829C1">
        <w:tc>
          <w:tcPr>
            <w:tcW w:w="9394" w:type="dxa"/>
            <w:tcBorders>
              <w:left w:val="nil"/>
              <w:right w:val="nil"/>
            </w:tcBorders>
            <w:shd w:val="clear" w:color="auto" w:fill="auto"/>
          </w:tcPr>
          <w:p w:rsidR="00AA4A35" w:rsidRDefault="00AA4A35" w:rsidP="0068079E">
            <w:pPr>
              <w:jc w:val="both"/>
            </w:pPr>
          </w:p>
        </w:tc>
      </w:tr>
      <w:tr w:rsidR="00404679" w:rsidTr="004829C1">
        <w:tc>
          <w:tcPr>
            <w:tcW w:w="9394" w:type="dxa"/>
            <w:shd w:val="clear" w:color="auto" w:fill="0079C1"/>
          </w:tcPr>
          <w:p w:rsidR="00B261F0" w:rsidRPr="0068079E" w:rsidRDefault="00B261F0" w:rsidP="00822CBB">
            <w:pPr>
              <w:rPr>
                <w:b/>
                <w:bCs/>
                <w:color w:val="FFFFFF"/>
                <w:u w:val="single"/>
              </w:rPr>
            </w:pPr>
          </w:p>
          <w:p w:rsidR="00404679" w:rsidRPr="00BF301C" w:rsidRDefault="00D56273" w:rsidP="00BF301C">
            <w:pPr>
              <w:pStyle w:val="ListParagraph"/>
              <w:numPr>
                <w:ilvl w:val="0"/>
                <w:numId w:val="9"/>
              </w:numPr>
              <w:rPr>
                <w:b/>
                <w:bCs/>
                <w:color w:val="FFFFFF"/>
                <w:u w:val="single"/>
              </w:rPr>
            </w:pPr>
            <w:r w:rsidRPr="00BF301C">
              <w:rPr>
                <w:b/>
                <w:bCs/>
                <w:color w:val="FFFFFF"/>
                <w:u w:val="single"/>
              </w:rPr>
              <w:t>Notes and f</w:t>
            </w:r>
            <w:r w:rsidR="000A4984" w:rsidRPr="00BF301C">
              <w:rPr>
                <w:b/>
                <w:bCs/>
                <w:color w:val="FFFFFF"/>
                <w:u w:val="single"/>
              </w:rPr>
              <w:t xml:space="preserve">urther </w:t>
            </w:r>
            <w:r w:rsidRPr="00BF301C">
              <w:rPr>
                <w:b/>
                <w:bCs/>
                <w:color w:val="FFFFFF"/>
                <w:u w:val="single"/>
              </w:rPr>
              <w:t>i</w:t>
            </w:r>
            <w:r w:rsidR="000A4984" w:rsidRPr="00BF301C">
              <w:rPr>
                <w:b/>
                <w:bCs/>
                <w:color w:val="FFFFFF"/>
                <w:u w:val="single"/>
              </w:rPr>
              <w:t>nformation</w:t>
            </w:r>
          </w:p>
          <w:p w:rsidR="00B261F0" w:rsidRPr="0068079E" w:rsidRDefault="00B261F0" w:rsidP="00822CBB">
            <w:pPr>
              <w:rPr>
                <w:b/>
                <w:bCs/>
                <w:color w:val="FFFFFF"/>
                <w:u w:val="single"/>
              </w:rPr>
            </w:pPr>
          </w:p>
        </w:tc>
      </w:tr>
      <w:tr w:rsidR="00404679" w:rsidTr="004829C1">
        <w:trPr>
          <w:trHeight w:val="132"/>
        </w:trPr>
        <w:tc>
          <w:tcPr>
            <w:tcW w:w="9394" w:type="dxa"/>
            <w:tcBorders>
              <w:bottom w:val="single" w:sz="4" w:space="0" w:color="auto"/>
            </w:tcBorders>
            <w:shd w:val="clear" w:color="auto" w:fill="auto"/>
          </w:tcPr>
          <w:p w:rsidR="00404679" w:rsidRDefault="00404679" w:rsidP="0068079E">
            <w:pPr>
              <w:jc w:val="both"/>
            </w:pPr>
          </w:p>
          <w:p w:rsidR="00404679" w:rsidRDefault="008A195C" w:rsidP="00226757">
            <w:pPr>
              <w:numPr>
                <w:ilvl w:val="0"/>
                <w:numId w:val="6"/>
              </w:numPr>
              <w:ind w:left="356" w:hanging="364"/>
              <w:jc w:val="both"/>
            </w:pPr>
            <w:r>
              <w:t xml:space="preserve">Further information about the requirements for Completion File submissions or </w:t>
            </w:r>
            <w:r w:rsidR="00915140">
              <w:t xml:space="preserve">the content of this document is available </w:t>
            </w:r>
            <w:r>
              <w:t>by contacting the team at</w:t>
            </w:r>
            <w:r w:rsidR="00843FBB">
              <w:t xml:space="preserve"> </w:t>
            </w:r>
            <w:hyperlink r:id="rId11" w:history="1">
              <w:r w:rsidR="00843FBB" w:rsidRPr="008F6D8A">
                <w:rPr>
                  <w:rStyle w:val="Hyperlink"/>
                </w:rPr>
                <w:t>networkdesign@nationalgrid.com</w:t>
              </w:r>
            </w:hyperlink>
            <w:r w:rsidR="00843FBB">
              <w:t xml:space="preserve">. </w:t>
            </w:r>
          </w:p>
          <w:p w:rsidR="00DE5528" w:rsidRDefault="005E3162" w:rsidP="00226757">
            <w:pPr>
              <w:numPr>
                <w:ilvl w:val="0"/>
                <w:numId w:val="6"/>
              </w:numPr>
              <w:ind w:left="356" w:hanging="364"/>
              <w:jc w:val="both"/>
            </w:pPr>
            <w:r w:rsidRPr="00E318EF">
              <w:t xml:space="preserve">The </w:t>
            </w:r>
            <w:r>
              <w:t xml:space="preserve">Large/Small Firm </w:t>
            </w:r>
            <w:r w:rsidR="00FE47A6">
              <w:t>determination</w:t>
            </w:r>
            <w:r w:rsidR="00FE47A6" w:rsidRPr="00E318EF">
              <w:t xml:space="preserve"> </w:t>
            </w:r>
            <w:r>
              <w:t xml:space="preserve">will be dependent solely on the number of </w:t>
            </w:r>
            <w:r w:rsidR="00C21151">
              <w:t xml:space="preserve">planned </w:t>
            </w:r>
            <w:r w:rsidR="00FE7A14">
              <w:t>completions</w:t>
            </w:r>
            <w:r>
              <w:t xml:space="preserve"> in that </w:t>
            </w:r>
            <w:r w:rsidR="00DE5528">
              <w:t xml:space="preserve">calendar </w:t>
            </w:r>
            <w:r>
              <w:t>month, so it is expected that firms will ‘switch’ between the ‘Large’ and ‘Small’ classifications.</w:t>
            </w:r>
            <w:r w:rsidR="00DE5528">
              <w:t xml:space="preserve"> </w:t>
            </w:r>
          </w:p>
          <w:p w:rsidR="00721B0D" w:rsidRPr="00E318EF" w:rsidRDefault="00DE5528" w:rsidP="00226757">
            <w:pPr>
              <w:numPr>
                <w:ilvl w:val="0"/>
                <w:numId w:val="6"/>
              </w:numPr>
              <w:ind w:left="356" w:hanging="364"/>
              <w:jc w:val="both"/>
            </w:pPr>
            <w:r>
              <w:t>The metric to be applied in any given month will be determined by the customer’s classification (‘Large’ or ‘Small’ Firm Size) in that month only.</w:t>
            </w:r>
            <w:r w:rsidR="005E3162">
              <w:t xml:space="preserve"> </w:t>
            </w:r>
            <w:r w:rsidR="005E3162" w:rsidRPr="00E318EF">
              <w:t xml:space="preserve"> </w:t>
            </w:r>
          </w:p>
          <w:p w:rsidR="003D7C4F" w:rsidRDefault="00721B0D" w:rsidP="00226757">
            <w:pPr>
              <w:numPr>
                <w:ilvl w:val="0"/>
                <w:numId w:val="6"/>
              </w:numPr>
              <w:ind w:left="356" w:hanging="364"/>
              <w:jc w:val="both"/>
            </w:pPr>
            <w:r>
              <w:t xml:space="preserve">All </w:t>
            </w:r>
            <w:r w:rsidR="00274573">
              <w:t>metrics will be</w:t>
            </w:r>
            <w:r>
              <w:t xml:space="preserve"> </w:t>
            </w:r>
            <w:r w:rsidR="00FE47A6">
              <w:t>calculated as follows;</w:t>
            </w:r>
          </w:p>
          <w:p w:rsidR="003D7C4F" w:rsidRDefault="003D7C4F" w:rsidP="00226757">
            <w:pPr>
              <w:jc w:val="both"/>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701"/>
              <w:gridCol w:w="1134"/>
              <w:gridCol w:w="5811"/>
            </w:tblGrid>
            <w:tr w:rsidR="003D7C4F" w:rsidTr="004829C1">
              <w:tc>
                <w:tcPr>
                  <w:tcW w:w="2194" w:type="dxa"/>
                  <w:gridSpan w:val="2"/>
                  <w:shd w:val="clear" w:color="auto" w:fill="D9D9D9"/>
                  <w:vAlign w:val="center"/>
                </w:tcPr>
                <w:p w:rsidR="00E664E8" w:rsidRPr="00E318EF" w:rsidRDefault="00E664E8" w:rsidP="00226757">
                  <w:pPr>
                    <w:jc w:val="center"/>
                    <w:rPr>
                      <w:b/>
                    </w:rPr>
                  </w:pPr>
                  <w:r w:rsidRPr="00E318EF">
                    <w:rPr>
                      <w:b/>
                    </w:rPr>
                    <w:t>Metric</w:t>
                  </w:r>
                </w:p>
              </w:tc>
              <w:tc>
                <w:tcPr>
                  <w:tcW w:w="1134" w:type="dxa"/>
                  <w:shd w:val="clear" w:color="auto" w:fill="D9D9D9"/>
                  <w:vAlign w:val="center"/>
                </w:tcPr>
                <w:p w:rsidR="00E664E8" w:rsidRPr="00E318EF" w:rsidRDefault="00E664E8" w:rsidP="00226757">
                  <w:pPr>
                    <w:jc w:val="center"/>
                    <w:rPr>
                      <w:b/>
                    </w:rPr>
                  </w:pPr>
                  <w:r w:rsidRPr="00557071">
                    <w:rPr>
                      <w:b/>
                    </w:rPr>
                    <w:t>Firm Size</w:t>
                  </w:r>
                </w:p>
              </w:tc>
              <w:tc>
                <w:tcPr>
                  <w:tcW w:w="5811" w:type="dxa"/>
                  <w:shd w:val="clear" w:color="auto" w:fill="D9D9D9"/>
                  <w:vAlign w:val="center"/>
                </w:tcPr>
                <w:p w:rsidR="00E664E8" w:rsidRPr="00557071" w:rsidRDefault="00E664E8" w:rsidP="00226757">
                  <w:pPr>
                    <w:jc w:val="center"/>
                    <w:rPr>
                      <w:b/>
                    </w:rPr>
                  </w:pPr>
                  <w:r>
                    <w:rPr>
                      <w:b/>
                    </w:rPr>
                    <w:t>Calculation Methodology</w:t>
                  </w:r>
                </w:p>
              </w:tc>
            </w:tr>
            <w:tr w:rsidR="004829C1" w:rsidTr="004829C1">
              <w:tc>
                <w:tcPr>
                  <w:tcW w:w="493" w:type="dxa"/>
                  <w:vMerge w:val="restart"/>
                  <w:vAlign w:val="center"/>
                </w:tcPr>
                <w:p w:rsidR="00E664E8" w:rsidRPr="004829C1" w:rsidRDefault="00E664E8" w:rsidP="00226757">
                  <w:pPr>
                    <w:jc w:val="center"/>
                    <w:rPr>
                      <w:sz w:val="16"/>
                      <w:szCs w:val="16"/>
                    </w:rPr>
                  </w:pPr>
                  <w:r w:rsidRPr="004829C1">
                    <w:rPr>
                      <w:sz w:val="16"/>
                      <w:szCs w:val="16"/>
                    </w:rPr>
                    <w:t>A</w:t>
                  </w:r>
                </w:p>
              </w:tc>
              <w:tc>
                <w:tcPr>
                  <w:tcW w:w="1701" w:type="dxa"/>
                  <w:vMerge w:val="restart"/>
                  <w:shd w:val="clear" w:color="auto" w:fill="auto"/>
                  <w:vAlign w:val="center"/>
                </w:tcPr>
                <w:p w:rsidR="00E664E8" w:rsidRPr="004829C1" w:rsidRDefault="00D6353C" w:rsidP="00D6353C">
                  <w:pPr>
                    <w:jc w:val="center"/>
                    <w:rPr>
                      <w:sz w:val="16"/>
                      <w:szCs w:val="16"/>
                    </w:rPr>
                  </w:pPr>
                  <w:r w:rsidRPr="004829C1">
                    <w:rPr>
                      <w:sz w:val="16"/>
                      <w:szCs w:val="16"/>
                    </w:rPr>
                    <w:t>Max no. c</w:t>
                  </w:r>
                  <w:r w:rsidR="00E664E8" w:rsidRPr="004829C1">
                    <w:rPr>
                      <w:sz w:val="16"/>
                      <w:szCs w:val="16"/>
                    </w:rPr>
                    <w:t>ompletion files outstanding by D+10</w:t>
                  </w:r>
                </w:p>
              </w:tc>
              <w:tc>
                <w:tcPr>
                  <w:tcW w:w="1134" w:type="dxa"/>
                  <w:shd w:val="clear" w:color="auto" w:fill="auto"/>
                  <w:vAlign w:val="center"/>
                </w:tcPr>
                <w:p w:rsidR="00E664E8" w:rsidRPr="004829C1" w:rsidRDefault="00E664E8" w:rsidP="00226757">
                  <w:pPr>
                    <w:jc w:val="center"/>
                    <w:rPr>
                      <w:sz w:val="16"/>
                      <w:szCs w:val="16"/>
                    </w:rPr>
                  </w:pPr>
                  <w:r w:rsidRPr="004829C1">
                    <w:rPr>
                      <w:sz w:val="16"/>
                      <w:szCs w:val="16"/>
                    </w:rPr>
                    <w:t>Large</w:t>
                  </w:r>
                </w:p>
              </w:tc>
              <w:tc>
                <w:tcPr>
                  <w:tcW w:w="5811" w:type="dxa"/>
                  <w:vAlign w:val="center"/>
                </w:tcPr>
                <w:p w:rsidR="00E664E8" w:rsidRPr="00F47D48" w:rsidRDefault="00A61639" w:rsidP="00226757">
                  <w:pPr>
                    <w:jc w:val="center"/>
                    <w:rPr>
                      <w:sz w:val="12"/>
                      <w:szCs w:val="12"/>
                    </w:rPr>
                  </w:pPr>
                  <m:oMathPara>
                    <m:oMath>
                      <m:d>
                        <m:dPr>
                          <m:ctrlPr>
                            <w:rPr>
                              <w:rFonts w:ascii="Cambria Math" w:hAnsi="Cambria Math"/>
                              <w:i/>
                              <w:sz w:val="12"/>
                              <w:szCs w:val="12"/>
                            </w:rPr>
                          </m:ctrlPr>
                        </m:dPr>
                        <m:e>
                          <m:f>
                            <m:fPr>
                              <m:ctrlPr>
                                <w:rPr>
                                  <w:rFonts w:ascii="Cambria Math" w:hAnsi="Cambria Math"/>
                                  <w:i/>
                                  <w:sz w:val="12"/>
                                  <w:szCs w:val="12"/>
                                </w:rPr>
                              </m:ctrlPr>
                            </m:fPr>
                            <m:num>
                              <m:r>
                                <w:rPr>
                                  <w:rFonts w:ascii="Cambria Math" w:hAnsi="Cambria Math"/>
                                  <w:sz w:val="12"/>
                                  <w:szCs w:val="12"/>
                                </w:rPr>
                                <m:t>Number of Completion Files expected to be received in Month that are outstanding</m:t>
                              </m:r>
                            </m:num>
                            <m:den>
                              <m:r>
                                <w:rPr>
                                  <w:rFonts w:ascii="Cambria Math" w:hAnsi="Cambria Math"/>
                                  <w:sz w:val="12"/>
                                  <w:szCs w:val="12"/>
                                </w:rPr>
                                <m:t>Number of Completion Files received in Month</m:t>
                              </m:r>
                            </m:den>
                          </m:f>
                        </m:e>
                      </m:d>
                      <m:r>
                        <w:rPr>
                          <w:rFonts w:ascii="Cambria Math" w:hAnsi="Cambria Math"/>
                          <w:sz w:val="12"/>
                          <w:szCs w:val="12"/>
                        </w:rPr>
                        <m:t>×100</m:t>
                      </m:r>
                    </m:oMath>
                  </m:oMathPara>
                </w:p>
              </w:tc>
            </w:tr>
            <w:tr w:rsidR="004829C1" w:rsidTr="004829C1">
              <w:tc>
                <w:tcPr>
                  <w:tcW w:w="493" w:type="dxa"/>
                  <w:vMerge/>
                  <w:vAlign w:val="center"/>
                </w:tcPr>
                <w:p w:rsidR="00E664E8" w:rsidRPr="004829C1" w:rsidRDefault="00E664E8" w:rsidP="00226757">
                  <w:pPr>
                    <w:jc w:val="center"/>
                    <w:rPr>
                      <w:sz w:val="16"/>
                      <w:szCs w:val="16"/>
                    </w:rPr>
                  </w:pPr>
                </w:p>
              </w:tc>
              <w:tc>
                <w:tcPr>
                  <w:tcW w:w="1701" w:type="dxa"/>
                  <w:vMerge/>
                  <w:shd w:val="clear" w:color="auto" w:fill="auto"/>
                  <w:vAlign w:val="center"/>
                </w:tcPr>
                <w:p w:rsidR="00E664E8" w:rsidRPr="004829C1" w:rsidRDefault="00E664E8" w:rsidP="00226757">
                  <w:pPr>
                    <w:jc w:val="center"/>
                    <w:rPr>
                      <w:sz w:val="16"/>
                      <w:szCs w:val="16"/>
                    </w:rPr>
                  </w:pPr>
                </w:p>
              </w:tc>
              <w:tc>
                <w:tcPr>
                  <w:tcW w:w="1134" w:type="dxa"/>
                  <w:shd w:val="clear" w:color="auto" w:fill="auto"/>
                  <w:vAlign w:val="center"/>
                </w:tcPr>
                <w:p w:rsidR="00E664E8" w:rsidRPr="004829C1" w:rsidRDefault="00E664E8" w:rsidP="00226757">
                  <w:pPr>
                    <w:jc w:val="center"/>
                    <w:rPr>
                      <w:sz w:val="16"/>
                      <w:szCs w:val="16"/>
                    </w:rPr>
                  </w:pPr>
                  <w:r w:rsidRPr="004829C1">
                    <w:rPr>
                      <w:sz w:val="16"/>
                      <w:szCs w:val="16"/>
                    </w:rPr>
                    <w:t>Small</w:t>
                  </w:r>
                </w:p>
              </w:tc>
              <w:tc>
                <w:tcPr>
                  <w:tcW w:w="5811" w:type="dxa"/>
                  <w:vAlign w:val="center"/>
                </w:tcPr>
                <w:p w:rsidR="00E664E8" w:rsidRPr="004829C1" w:rsidRDefault="00E664E8" w:rsidP="00226757">
                  <w:pPr>
                    <w:jc w:val="center"/>
                    <w:rPr>
                      <w:sz w:val="16"/>
                      <w:szCs w:val="16"/>
                    </w:rPr>
                  </w:pPr>
                  <w:r w:rsidRPr="004829C1">
                    <w:rPr>
                      <w:sz w:val="16"/>
                      <w:szCs w:val="16"/>
                    </w:rPr>
                    <w:t>Absolute Value</w:t>
                  </w:r>
                  <w:r w:rsidR="008227ED" w:rsidRPr="004829C1">
                    <w:rPr>
                      <w:sz w:val="16"/>
                      <w:szCs w:val="16"/>
                    </w:rPr>
                    <w:t xml:space="preserve"> not to be exceeded</w:t>
                  </w:r>
                </w:p>
              </w:tc>
            </w:tr>
            <w:tr w:rsidR="004829C1" w:rsidTr="004829C1">
              <w:trPr>
                <w:trHeight w:val="305"/>
              </w:trPr>
              <w:tc>
                <w:tcPr>
                  <w:tcW w:w="493" w:type="dxa"/>
                  <w:vAlign w:val="center"/>
                </w:tcPr>
                <w:p w:rsidR="008E41B3" w:rsidRPr="004829C1" w:rsidRDefault="00602D33" w:rsidP="004829C1">
                  <w:pPr>
                    <w:jc w:val="center"/>
                    <w:rPr>
                      <w:sz w:val="16"/>
                      <w:szCs w:val="16"/>
                    </w:rPr>
                  </w:pPr>
                  <w:r w:rsidRPr="004829C1">
                    <w:rPr>
                      <w:sz w:val="16"/>
                      <w:szCs w:val="16"/>
                    </w:rPr>
                    <w:t>B</w:t>
                  </w:r>
                  <w:r w:rsidR="004829C1" w:rsidRPr="004829C1">
                    <w:rPr>
                      <w:sz w:val="16"/>
                      <w:szCs w:val="16"/>
                    </w:rPr>
                    <w:t xml:space="preserve"> &amp; C</w:t>
                  </w:r>
                </w:p>
              </w:tc>
              <w:tc>
                <w:tcPr>
                  <w:tcW w:w="1701" w:type="dxa"/>
                  <w:shd w:val="clear" w:color="auto" w:fill="auto"/>
                  <w:vAlign w:val="center"/>
                </w:tcPr>
                <w:p w:rsidR="008E41B3" w:rsidRPr="004829C1" w:rsidRDefault="004829C1" w:rsidP="004829C1">
                  <w:pPr>
                    <w:jc w:val="center"/>
                    <w:rPr>
                      <w:sz w:val="16"/>
                      <w:szCs w:val="16"/>
                    </w:rPr>
                  </w:pPr>
                  <w:r w:rsidRPr="004829C1">
                    <w:rPr>
                      <w:sz w:val="16"/>
                      <w:szCs w:val="16"/>
                    </w:rPr>
                    <w:t>All other metrics</w:t>
                  </w:r>
                </w:p>
              </w:tc>
              <w:tc>
                <w:tcPr>
                  <w:tcW w:w="1134" w:type="dxa"/>
                  <w:shd w:val="clear" w:color="auto" w:fill="auto"/>
                  <w:vAlign w:val="center"/>
                </w:tcPr>
                <w:p w:rsidR="008E41B3" w:rsidRPr="004829C1" w:rsidRDefault="004829C1" w:rsidP="00226757">
                  <w:pPr>
                    <w:jc w:val="center"/>
                    <w:rPr>
                      <w:sz w:val="16"/>
                      <w:szCs w:val="16"/>
                    </w:rPr>
                  </w:pPr>
                  <w:r w:rsidRPr="004829C1">
                    <w:rPr>
                      <w:sz w:val="16"/>
                      <w:szCs w:val="16"/>
                    </w:rPr>
                    <w:t>Both</w:t>
                  </w:r>
                </w:p>
              </w:tc>
              <w:tc>
                <w:tcPr>
                  <w:tcW w:w="5811" w:type="dxa"/>
                  <w:vAlign w:val="center"/>
                </w:tcPr>
                <w:p w:rsidR="008E41B3" w:rsidRPr="004829C1" w:rsidRDefault="008E41B3" w:rsidP="00226757">
                  <w:pPr>
                    <w:jc w:val="center"/>
                    <w:rPr>
                      <w:sz w:val="16"/>
                      <w:szCs w:val="16"/>
                    </w:rPr>
                  </w:pPr>
                  <w:r w:rsidRPr="004829C1">
                    <w:rPr>
                      <w:sz w:val="16"/>
                      <w:szCs w:val="16"/>
                    </w:rPr>
                    <w:t>Absolute Value</w:t>
                  </w:r>
                  <w:r w:rsidR="008227ED" w:rsidRPr="004829C1">
                    <w:rPr>
                      <w:sz w:val="16"/>
                      <w:szCs w:val="16"/>
                    </w:rPr>
                    <w:t xml:space="preserve"> not to be exceeded</w:t>
                  </w:r>
                </w:p>
              </w:tc>
            </w:tr>
          </w:tbl>
          <w:p w:rsidR="003D7C4F" w:rsidRDefault="003D7C4F" w:rsidP="00226757">
            <w:pPr>
              <w:jc w:val="both"/>
              <w:rPr>
                <w:b/>
                <w:bCs/>
                <w:u w:val="single"/>
              </w:rPr>
            </w:pPr>
          </w:p>
          <w:p w:rsidR="008E41B3" w:rsidRDefault="008E41B3" w:rsidP="00226757">
            <w:pPr>
              <w:pStyle w:val="ListParagraph"/>
              <w:numPr>
                <w:ilvl w:val="0"/>
                <w:numId w:val="8"/>
              </w:numPr>
              <w:ind w:left="356"/>
              <w:jc w:val="both"/>
              <w:rPr>
                <w:bCs/>
              </w:rPr>
            </w:pPr>
            <w:r w:rsidRPr="008E41B3">
              <w:rPr>
                <w:bCs/>
              </w:rPr>
              <w:t xml:space="preserve">For the avoidance of doubt, </w:t>
            </w:r>
            <w:r>
              <w:rPr>
                <w:bCs/>
              </w:rPr>
              <w:t xml:space="preserve">‘outstanding’ in the above </w:t>
            </w:r>
            <w:r w:rsidR="00911259">
              <w:rPr>
                <w:bCs/>
              </w:rPr>
              <w:t>metrics</w:t>
            </w:r>
            <w:r>
              <w:rPr>
                <w:bCs/>
              </w:rPr>
              <w:t xml:space="preserve"> includes Completion Files not received</w:t>
            </w:r>
            <w:r w:rsidR="00DC0EDF">
              <w:rPr>
                <w:bCs/>
              </w:rPr>
              <w:t xml:space="preserve"> </w:t>
            </w:r>
            <w:r>
              <w:rPr>
                <w:bCs/>
              </w:rPr>
              <w:t>and not valid by the respective date.</w:t>
            </w:r>
          </w:p>
          <w:p w:rsidR="008E41B3" w:rsidRDefault="00D02467" w:rsidP="00D6353C">
            <w:pPr>
              <w:pStyle w:val="ListParagraph"/>
              <w:numPr>
                <w:ilvl w:val="0"/>
                <w:numId w:val="8"/>
              </w:numPr>
              <w:ind w:left="356"/>
              <w:jc w:val="both"/>
              <w:rPr>
                <w:bCs/>
              </w:rPr>
            </w:pPr>
            <w:r>
              <w:rPr>
                <w:bCs/>
              </w:rPr>
              <w:t xml:space="preserve">In instances where completion files are submitted to National Grid by an ‘agent’, the ‘requesting company’ (who the agent is working on behalf of) will be responsible for ensuring </w:t>
            </w:r>
            <w:r w:rsidR="00FB4C17">
              <w:rPr>
                <w:bCs/>
              </w:rPr>
              <w:t>compliance</w:t>
            </w:r>
            <w:r>
              <w:rPr>
                <w:bCs/>
              </w:rPr>
              <w:t xml:space="preserve"> with </w:t>
            </w:r>
            <w:r>
              <w:rPr>
                <w:bCs/>
              </w:rPr>
              <w:lastRenderedPageBreak/>
              <w:t>this policy. Any non-compliance will apply against the ‘requesting company'</w:t>
            </w:r>
          </w:p>
          <w:p w:rsidR="006F6B8F" w:rsidRDefault="006F6B8F" w:rsidP="006F6B8F">
            <w:pPr>
              <w:pStyle w:val="ListParagraph"/>
              <w:numPr>
                <w:ilvl w:val="0"/>
                <w:numId w:val="8"/>
              </w:numPr>
              <w:ind w:left="356" w:hanging="356"/>
              <w:rPr>
                <w:bCs/>
              </w:rPr>
            </w:pPr>
            <w:r w:rsidRPr="006F6B8F">
              <w:rPr>
                <w:bCs/>
              </w:rPr>
              <w:t xml:space="preserve">To support with the timely resolution of any rejected completion files, National Grid will </w:t>
            </w:r>
            <w:r>
              <w:rPr>
                <w:bCs/>
              </w:rPr>
              <w:t xml:space="preserve">use reasonable endeavours to </w:t>
            </w:r>
            <w:r w:rsidRPr="006F6B8F">
              <w:rPr>
                <w:bCs/>
              </w:rPr>
              <w:t>validate each Completion File and conf</w:t>
            </w:r>
            <w:r>
              <w:rPr>
                <w:bCs/>
              </w:rPr>
              <w:t>irm all rejection reasons by D+10</w:t>
            </w:r>
            <w:r w:rsidRPr="006F6B8F">
              <w:rPr>
                <w:bCs/>
              </w:rPr>
              <w:t xml:space="preserve"> of receiving the file.</w:t>
            </w:r>
          </w:p>
          <w:p w:rsidR="00D6353C" w:rsidRDefault="00BF301C" w:rsidP="004829C1">
            <w:pPr>
              <w:pStyle w:val="ListParagraph"/>
              <w:numPr>
                <w:ilvl w:val="0"/>
                <w:numId w:val="8"/>
              </w:numPr>
              <w:ind w:left="356"/>
              <w:rPr>
                <w:bCs/>
              </w:rPr>
            </w:pPr>
            <w:r>
              <w:rPr>
                <w:bCs/>
              </w:rPr>
              <w:t xml:space="preserve">In instances where the </w:t>
            </w:r>
            <w:r w:rsidR="006F6B8F">
              <w:rPr>
                <w:bCs/>
              </w:rPr>
              <w:t xml:space="preserve">Completion Files </w:t>
            </w:r>
            <w:r>
              <w:rPr>
                <w:bCs/>
              </w:rPr>
              <w:t xml:space="preserve">is </w:t>
            </w:r>
            <w:r w:rsidR="006F6B8F">
              <w:rPr>
                <w:bCs/>
              </w:rPr>
              <w:t xml:space="preserve">received but not validated by </w:t>
            </w:r>
            <w:r w:rsidR="00694F1B" w:rsidRPr="00694F1B">
              <w:rPr>
                <w:bCs/>
              </w:rPr>
              <w:t xml:space="preserve">3rd working day of </w:t>
            </w:r>
            <w:r>
              <w:rPr>
                <w:bCs/>
              </w:rPr>
              <w:t>the</w:t>
            </w:r>
            <w:r w:rsidR="00694F1B" w:rsidRPr="00694F1B">
              <w:rPr>
                <w:bCs/>
              </w:rPr>
              <w:t xml:space="preserve"> calendar month</w:t>
            </w:r>
            <w:r>
              <w:rPr>
                <w:bCs/>
              </w:rPr>
              <w:t>, the Completion File</w:t>
            </w:r>
            <w:r w:rsidR="00694F1B">
              <w:rPr>
                <w:bCs/>
              </w:rPr>
              <w:t xml:space="preserve"> will be </w:t>
            </w:r>
            <w:r w:rsidR="00D42A2B">
              <w:rPr>
                <w:bCs/>
              </w:rPr>
              <w:t>included in the following</w:t>
            </w:r>
            <w:r w:rsidR="00694F1B">
              <w:rPr>
                <w:bCs/>
              </w:rPr>
              <w:t xml:space="preserve"> month’s </w:t>
            </w:r>
            <w:r w:rsidR="00D42A2B">
              <w:rPr>
                <w:bCs/>
              </w:rPr>
              <w:t>performance data</w:t>
            </w:r>
            <w:r w:rsidR="00694F1B">
              <w:rPr>
                <w:bCs/>
              </w:rPr>
              <w:t>.</w:t>
            </w:r>
          </w:p>
          <w:p w:rsidR="004829C1" w:rsidRPr="004829C1" w:rsidRDefault="004829C1" w:rsidP="004829C1">
            <w:pPr>
              <w:pStyle w:val="ListParagraph"/>
              <w:ind w:left="356"/>
              <w:rPr>
                <w:bCs/>
              </w:rPr>
            </w:pPr>
          </w:p>
        </w:tc>
      </w:tr>
    </w:tbl>
    <w:p w:rsidR="00F4324D" w:rsidRPr="00F5628A" w:rsidRDefault="00F4324D" w:rsidP="00F5628A"/>
    <w:sectPr w:rsidR="00F4324D" w:rsidRPr="00F5628A" w:rsidSect="004829C1">
      <w:headerReference w:type="default" r:id="rId12"/>
      <w:footerReference w:type="default" r:id="rId1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39" w:rsidRDefault="00A61639">
      <w:r>
        <w:separator/>
      </w:r>
    </w:p>
  </w:endnote>
  <w:endnote w:type="continuationSeparator" w:id="0">
    <w:p w:rsidR="00A61639" w:rsidRDefault="00A6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00" w:rsidRPr="00E76991" w:rsidRDefault="00A01E00">
    <w:pPr>
      <w:pStyle w:val="Footer"/>
      <w:rPr>
        <w:sz w:val="16"/>
        <w:szCs w:val="16"/>
      </w:rPr>
    </w:pPr>
    <w:r>
      <w:rPr>
        <w:sz w:val="16"/>
        <w:szCs w:val="16"/>
      </w:rPr>
      <w:t>July 2014 – Version 1 (Final)</w:t>
    </w:r>
    <w:r w:rsidRPr="00E76991">
      <w:rPr>
        <w:sz w:val="16"/>
        <w:szCs w:val="16"/>
      </w:rPr>
      <w:tab/>
    </w:r>
    <w:r w:rsidRPr="00E76991">
      <w:rPr>
        <w:sz w:val="16"/>
        <w:szCs w:val="16"/>
      </w:rPr>
      <w:tab/>
      <w:t xml:space="preserve">Page </w:t>
    </w:r>
    <w:r w:rsidRPr="00E76991">
      <w:rPr>
        <w:rStyle w:val="PageNumber"/>
        <w:sz w:val="16"/>
        <w:szCs w:val="16"/>
      </w:rPr>
      <w:fldChar w:fldCharType="begin"/>
    </w:r>
    <w:r w:rsidRPr="00E76991">
      <w:rPr>
        <w:rStyle w:val="PageNumber"/>
        <w:sz w:val="16"/>
        <w:szCs w:val="16"/>
      </w:rPr>
      <w:instrText xml:space="preserve"> PAGE </w:instrText>
    </w:r>
    <w:r w:rsidRPr="00E76991">
      <w:rPr>
        <w:rStyle w:val="PageNumber"/>
        <w:sz w:val="16"/>
        <w:szCs w:val="16"/>
      </w:rPr>
      <w:fldChar w:fldCharType="separate"/>
    </w:r>
    <w:r w:rsidR="005B7B3F">
      <w:rPr>
        <w:rStyle w:val="PageNumber"/>
        <w:noProof/>
        <w:sz w:val="16"/>
        <w:szCs w:val="16"/>
      </w:rPr>
      <w:t>1</w:t>
    </w:r>
    <w:r w:rsidRPr="00E76991">
      <w:rPr>
        <w:rStyle w:val="PageNumber"/>
        <w:sz w:val="16"/>
        <w:szCs w:val="16"/>
      </w:rPr>
      <w:fldChar w:fldCharType="end"/>
    </w:r>
    <w:r w:rsidRPr="00E76991">
      <w:rPr>
        <w:rStyle w:val="PageNumber"/>
        <w:sz w:val="16"/>
        <w:szCs w:val="16"/>
      </w:rPr>
      <w:t xml:space="preserve"> of </w:t>
    </w:r>
    <w:r w:rsidRPr="00E76991">
      <w:rPr>
        <w:rStyle w:val="PageNumber"/>
        <w:sz w:val="16"/>
        <w:szCs w:val="16"/>
      </w:rPr>
      <w:fldChar w:fldCharType="begin"/>
    </w:r>
    <w:r w:rsidRPr="00E76991">
      <w:rPr>
        <w:rStyle w:val="PageNumber"/>
        <w:sz w:val="16"/>
        <w:szCs w:val="16"/>
      </w:rPr>
      <w:instrText xml:space="preserve"> NUMPAGES </w:instrText>
    </w:r>
    <w:r w:rsidRPr="00E76991">
      <w:rPr>
        <w:rStyle w:val="PageNumber"/>
        <w:sz w:val="16"/>
        <w:szCs w:val="16"/>
      </w:rPr>
      <w:fldChar w:fldCharType="separate"/>
    </w:r>
    <w:r w:rsidR="005B7B3F">
      <w:rPr>
        <w:rStyle w:val="PageNumber"/>
        <w:noProof/>
        <w:sz w:val="16"/>
        <w:szCs w:val="16"/>
      </w:rPr>
      <w:t>4</w:t>
    </w:r>
    <w:r w:rsidRPr="00E76991">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39" w:rsidRDefault="00A61639">
      <w:r>
        <w:separator/>
      </w:r>
    </w:p>
  </w:footnote>
  <w:footnote w:type="continuationSeparator" w:id="0">
    <w:p w:rsidR="00A61639" w:rsidRDefault="00A61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00" w:rsidRPr="00E76991" w:rsidRDefault="00A01E00" w:rsidP="006917A4">
    <w:pPr>
      <w:pStyle w:val="Header"/>
      <w:jc w:val="both"/>
      <w:rPr>
        <w:b/>
        <w:bCs/>
        <w:color w:val="0079C1"/>
        <w:sz w:val="16"/>
        <w:szCs w:val="16"/>
      </w:rPr>
    </w:pPr>
    <w:r>
      <w:rPr>
        <w:noProof/>
        <w:lang w:eastAsia="en-GB"/>
      </w:rPr>
      <w:drawing>
        <wp:anchor distT="0" distB="0" distL="114300" distR="114300" simplePos="0" relativeHeight="251657216" behindDoc="1" locked="0" layoutInCell="1" allowOverlap="1" wp14:anchorId="3203DC36" wp14:editId="3203DC37">
          <wp:simplePos x="0" y="0"/>
          <wp:positionH relativeFrom="column">
            <wp:posOffset>3734435</wp:posOffset>
          </wp:positionH>
          <wp:positionV relativeFrom="paragraph">
            <wp:posOffset>-133350</wp:posOffset>
          </wp:positionV>
          <wp:extent cx="1713865" cy="392430"/>
          <wp:effectExtent l="0" t="0" r="0" b="0"/>
          <wp:wrapTight wrapText="bothSides">
            <wp:wrapPolygon edited="0">
              <wp:start x="0" y="0"/>
              <wp:lineTo x="0" y="20971"/>
              <wp:lineTo x="21368" y="20971"/>
              <wp:lineTo x="213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6991">
      <w:rPr>
        <w:b/>
        <w:bCs/>
        <w:color w:val="0079C1"/>
        <w:sz w:val="16"/>
        <w:szCs w:val="16"/>
      </w:rPr>
      <w:t>National Grid Gas Distribution</w:t>
    </w:r>
  </w:p>
  <w:p w:rsidR="00A01E00" w:rsidRPr="00E76991" w:rsidRDefault="00A01E00" w:rsidP="0003749A">
    <w:pPr>
      <w:pStyle w:val="Header"/>
      <w:jc w:val="both"/>
      <w:rPr>
        <w:b/>
        <w:bCs/>
        <w:color w:val="0079C1"/>
        <w:sz w:val="16"/>
        <w:szCs w:val="16"/>
      </w:rPr>
    </w:pPr>
    <w:r w:rsidRPr="0003749A">
      <w:rPr>
        <w:b/>
        <w:bCs/>
        <w:color w:val="0079C1"/>
        <w:sz w:val="16"/>
        <w:szCs w:val="16"/>
      </w:rPr>
      <w:t>Completion File Performance Policy and Management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527F3"/>
    <w:multiLevelType w:val="hybridMultilevel"/>
    <w:tmpl w:val="A1F4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C2609C"/>
    <w:multiLevelType w:val="hybridMultilevel"/>
    <w:tmpl w:val="0064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ED04A3"/>
    <w:multiLevelType w:val="hybridMultilevel"/>
    <w:tmpl w:val="2566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260F5D"/>
    <w:multiLevelType w:val="hybridMultilevel"/>
    <w:tmpl w:val="0DD0294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4BEE3633"/>
    <w:multiLevelType w:val="hybridMultilevel"/>
    <w:tmpl w:val="62A6E248"/>
    <w:lvl w:ilvl="0" w:tplc="0809000F">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nsid w:val="4C73130F"/>
    <w:multiLevelType w:val="hybridMultilevel"/>
    <w:tmpl w:val="0EA04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6D0865"/>
    <w:multiLevelType w:val="hybridMultilevel"/>
    <w:tmpl w:val="C256E17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5E6B0329"/>
    <w:multiLevelType w:val="hybridMultilevel"/>
    <w:tmpl w:val="C256E17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nsid w:val="7B9902C8"/>
    <w:multiLevelType w:val="hybridMultilevel"/>
    <w:tmpl w:val="AAE228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
  </w:num>
  <w:num w:numId="4">
    <w:abstractNumId w:val="7"/>
  </w:num>
  <w:num w:numId="5">
    <w:abstractNumId w:val="6"/>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7C"/>
    <w:rsid w:val="00000925"/>
    <w:rsid w:val="00016F7C"/>
    <w:rsid w:val="00032BB7"/>
    <w:rsid w:val="0003749A"/>
    <w:rsid w:val="00061FB2"/>
    <w:rsid w:val="000629FC"/>
    <w:rsid w:val="000641D4"/>
    <w:rsid w:val="00096952"/>
    <w:rsid w:val="000A4984"/>
    <w:rsid w:val="000A7487"/>
    <w:rsid w:val="000E29BB"/>
    <w:rsid w:val="000F209F"/>
    <w:rsid w:val="000F2806"/>
    <w:rsid w:val="00127AFB"/>
    <w:rsid w:val="00173509"/>
    <w:rsid w:val="001749CF"/>
    <w:rsid w:val="0018741A"/>
    <w:rsid w:val="00191714"/>
    <w:rsid w:val="001A2659"/>
    <w:rsid w:val="001E1C7E"/>
    <w:rsid w:val="00226757"/>
    <w:rsid w:val="002328B2"/>
    <w:rsid w:val="00235A31"/>
    <w:rsid w:val="00262B1A"/>
    <w:rsid w:val="0027385E"/>
    <w:rsid w:val="00274573"/>
    <w:rsid w:val="00274B76"/>
    <w:rsid w:val="00291DEE"/>
    <w:rsid w:val="002925E8"/>
    <w:rsid w:val="002A3E5E"/>
    <w:rsid w:val="002D3E72"/>
    <w:rsid w:val="002E200F"/>
    <w:rsid w:val="002F4462"/>
    <w:rsid w:val="00317859"/>
    <w:rsid w:val="0032403C"/>
    <w:rsid w:val="00337675"/>
    <w:rsid w:val="0036076F"/>
    <w:rsid w:val="0038204E"/>
    <w:rsid w:val="003A5693"/>
    <w:rsid w:val="003C15CF"/>
    <w:rsid w:val="003D571B"/>
    <w:rsid w:val="003D7C4F"/>
    <w:rsid w:val="003E2DEB"/>
    <w:rsid w:val="003F0C67"/>
    <w:rsid w:val="00404679"/>
    <w:rsid w:val="00467230"/>
    <w:rsid w:val="004700FC"/>
    <w:rsid w:val="00470BD0"/>
    <w:rsid w:val="004829C1"/>
    <w:rsid w:val="00491C4D"/>
    <w:rsid w:val="004C237C"/>
    <w:rsid w:val="00507906"/>
    <w:rsid w:val="005125C7"/>
    <w:rsid w:val="00512710"/>
    <w:rsid w:val="0054121E"/>
    <w:rsid w:val="00545818"/>
    <w:rsid w:val="00550736"/>
    <w:rsid w:val="00550755"/>
    <w:rsid w:val="00557071"/>
    <w:rsid w:val="00563CAD"/>
    <w:rsid w:val="00577024"/>
    <w:rsid w:val="005911A2"/>
    <w:rsid w:val="005970B0"/>
    <w:rsid w:val="005973D7"/>
    <w:rsid w:val="005B7B3F"/>
    <w:rsid w:val="005C5BCB"/>
    <w:rsid w:val="005E3162"/>
    <w:rsid w:val="005F0ED0"/>
    <w:rsid w:val="00600CD3"/>
    <w:rsid w:val="00602D33"/>
    <w:rsid w:val="00630D23"/>
    <w:rsid w:val="006556C7"/>
    <w:rsid w:val="00675E56"/>
    <w:rsid w:val="0068079E"/>
    <w:rsid w:val="00685434"/>
    <w:rsid w:val="006917A4"/>
    <w:rsid w:val="00694F1B"/>
    <w:rsid w:val="0069604A"/>
    <w:rsid w:val="006E2681"/>
    <w:rsid w:val="006E7498"/>
    <w:rsid w:val="006F23A0"/>
    <w:rsid w:val="006F2663"/>
    <w:rsid w:val="006F59E6"/>
    <w:rsid w:val="006F5BEC"/>
    <w:rsid w:val="006F6B8F"/>
    <w:rsid w:val="00701094"/>
    <w:rsid w:val="00704A72"/>
    <w:rsid w:val="00721B0D"/>
    <w:rsid w:val="00724A56"/>
    <w:rsid w:val="00740D7F"/>
    <w:rsid w:val="00743844"/>
    <w:rsid w:val="00750E68"/>
    <w:rsid w:val="00755973"/>
    <w:rsid w:val="00764365"/>
    <w:rsid w:val="0077395C"/>
    <w:rsid w:val="007A0501"/>
    <w:rsid w:val="007B4218"/>
    <w:rsid w:val="007B6925"/>
    <w:rsid w:val="0080367A"/>
    <w:rsid w:val="00811D80"/>
    <w:rsid w:val="008227ED"/>
    <w:rsid w:val="00822CBB"/>
    <w:rsid w:val="00824231"/>
    <w:rsid w:val="00834AF4"/>
    <w:rsid w:val="00843FBB"/>
    <w:rsid w:val="00872754"/>
    <w:rsid w:val="008A195C"/>
    <w:rsid w:val="008B1530"/>
    <w:rsid w:val="008B258D"/>
    <w:rsid w:val="008B6E33"/>
    <w:rsid w:val="008C2473"/>
    <w:rsid w:val="008C5685"/>
    <w:rsid w:val="008D10F2"/>
    <w:rsid w:val="008D200D"/>
    <w:rsid w:val="008E41B3"/>
    <w:rsid w:val="009065FA"/>
    <w:rsid w:val="00911259"/>
    <w:rsid w:val="00915140"/>
    <w:rsid w:val="00934D81"/>
    <w:rsid w:val="00991461"/>
    <w:rsid w:val="009C144E"/>
    <w:rsid w:val="009F0BA1"/>
    <w:rsid w:val="009F7FF7"/>
    <w:rsid w:val="00A01E00"/>
    <w:rsid w:val="00A02890"/>
    <w:rsid w:val="00A05A31"/>
    <w:rsid w:val="00A0621E"/>
    <w:rsid w:val="00A07823"/>
    <w:rsid w:val="00A2729C"/>
    <w:rsid w:val="00A47EB1"/>
    <w:rsid w:val="00A505DC"/>
    <w:rsid w:val="00A61639"/>
    <w:rsid w:val="00A71527"/>
    <w:rsid w:val="00AA4A35"/>
    <w:rsid w:val="00AB233B"/>
    <w:rsid w:val="00AB2EC2"/>
    <w:rsid w:val="00AD312A"/>
    <w:rsid w:val="00B20B32"/>
    <w:rsid w:val="00B22B83"/>
    <w:rsid w:val="00B261F0"/>
    <w:rsid w:val="00B34840"/>
    <w:rsid w:val="00B42A86"/>
    <w:rsid w:val="00B46C7C"/>
    <w:rsid w:val="00B47FB3"/>
    <w:rsid w:val="00B5757C"/>
    <w:rsid w:val="00B856F1"/>
    <w:rsid w:val="00BC3CEF"/>
    <w:rsid w:val="00BD2241"/>
    <w:rsid w:val="00BE56EF"/>
    <w:rsid w:val="00BE7414"/>
    <w:rsid w:val="00BF301C"/>
    <w:rsid w:val="00C05627"/>
    <w:rsid w:val="00C1155D"/>
    <w:rsid w:val="00C178E1"/>
    <w:rsid w:val="00C21151"/>
    <w:rsid w:val="00C66515"/>
    <w:rsid w:val="00C667FE"/>
    <w:rsid w:val="00C832A2"/>
    <w:rsid w:val="00CC440B"/>
    <w:rsid w:val="00CD74F4"/>
    <w:rsid w:val="00CD7E9F"/>
    <w:rsid w:val="00CE02FE"/>
    <w:rsid w:val="00D02467"/>
    <w:rsid w:val="00D1669E"/>
    <w:rsid w:val="00D23583"/>
    <w:rsid w:val="00D42A2B"/>
    <w:rsid w:val="00D56273"/>
    <w:rsid w:val="00D6353C"/>
    <w:rsid w:val="00D75B2E"/>
    <w:rsid w:val="00D76F89"/>
    <w:rsid w:val="00D96097"/>
    <w:rsid w:val="00DB6D66"/>
    <w:rsid w:val="00DC0EDF"/>
    <w:rsid w:val="00DE4AF4"/>
    <w:rsid w:val="00DE5528"/>
    <w:rsid w:val="00E029E1"/>
    <w:rsid w:val="00E04839"/>
    <w:rsid w:val="00E07117"/>
    <w:rsid w:val="00E318EF"/>
    <w:rsid w:val="00E43AE2"/>
    <w:rsid w:val="00E54B1E"/>
    <w:rsid w:val="00E664E8"/>
    <w:rsid w:val="00E76991"/>
    <w:rsid w:val="00EA1E75"/>
    <w:rsid w:val="00ED40C9"/>
    <w:rsid w:val="00EE25E5"/>
    <w:rsid w:val="00F1258E"/>
    <w:rsid w:val="00F14489"/>
    <w:rsid w:val="00F31E24"/>
    <w:rsid w:val="00F324B3"/>
    <w:rsid w:val="00F4324D"/>
    <w:rsid w:val="00F47D48"/>
    <w:rsid w:val="00F528BC"/>
    <w:rsid w:val="00F5628A"/>
    <w:rsid w:val="00F655FD"/>
    <w:rsid w:val="00F770E8"/>
    <w:rsid w:val="00F85B78"/>
    <w:rsid w:val="00FA3231"/>
    <w:rsid w:val="00FB4C17"/>
    <w:rsid w:val="00FB560A"/>
    <w:rsid w:val="00FC43DB"/>
    <w:rsid w:val="00FD155B"/>
    <w:rsid w:val="00FD3F91"/>
    <w:rsid w:val="00FE1C03"/>
    <w:rsid w:val="00FE3A69"/>
    <w:rsid w:val="00FE47A6"/>
    <w:rsid w:val="00FE7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6F1"/>
    <w:rPr>
      <w:rFonts w:ascii="Arial" w:hAnsi="Arial"/>
      <w:szCs w:val="24"/>
      <w:lang w:eastAsia="ja-JP"/>
    </w:rPr>
  </w:style>
  <w:style w:type="paragraph" w:styleId="Heading2">
    <w:name w:val="heading 2"/>
    <w:basedOn w:val="Normal"/>
    <w:next w:val="Normal"/>
    <w:qFormat/>
    <w:rsid w:val="00C05627"/>
    <w:pPr>
      <w:keepNext/>
      <w:spacing w:before="240" w:after="60"/>
      <w:outlineLvl w:val="1"/>
    </w:pPr>
    <w:rPr>
      <w:rFonts w:cs="Arial"/>
      <w:b/>
      <w:bCs/>
      <w:i/>
      <w:iCs/>
      <w:sz w:val="28"/>
      <w:szCs w:val="28"/>
    </w:rPr>
  </w:style>
  <w:style w:type="paragraph" w:styleId="Heading3">
    <w:name w:val="heading 3"/>
    <w:basedOn w:val="Normal"/>
    <w:next w:val="Normal"/>
    <w:qFormat/>
    <w:rsid w:val="00C0562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3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7385E"/>
    <w:rPr>
      <w:color w:val="0000FF"/>
      <w:u w:val="single"/>
    </w:rPr>
  </w:style>
  <w:style w:type="paragraph" w:styleId="BalloonText">
    <w:name w:val="Balloon Text"/>
    <w:basedOn w:val="Normal"/>
    <w:semiHidden/>
    <w:rsid w:val="00811D80"/>
    <w:rPr>
      <w:rFonts w:ascii="Tahoma" w:hAnsi="Tahoma" w:cs="Tahoma"/>
      <w:sz w:val="16"/>
      <w:szCs w:val="16"/>
    </w:rPr>
  </w:style>
  <w:style w:type="paragraph" w:styleId="Header">
    <w:name w:val="header"/>
    <w:basedOn w:val="Normal"/>
    <w:rsid w:val="006E7498"/>
    <w:pPr>
      <w:tabs>
        <w:tab w:val="center" w:pos="4153"/>
        <w:tab w:val="right" w:pos="8306"/>
      </w:tabs>
    </w:pPr>
  </w:style>
  <w:style w:type="paragraph" w:styleId="Footer">
    <w:name w:val="footer"/>
    <w:basedOn w:val="Normal"/>
    <w:rsid w:val="006E7498"/>
    <w:pPr>
      <w:tabs>
        <w:tab w:val="center" w:pos="4153"/>
        <w:tab w:val="right" w:pos="8306"/>
      </w:tabs>
    </w:pPr>
  </w:style>
  <w:style w:type="character" w:styleId="PageNumber">
    <w:name w:val="page number"/>
    <w:basedOn w:val="DefaultParagraphFont"/>
    <w:rsid w:val="00B261F0"/>
  </w:style>
  <w:style w:type="paragraph" w:styleId="Revision">
    <w:name w:val="Revision"/>
    <w:hidden/>
    <w:uiPriority w:val="99"/>
    <w:semiHidden/>
    <w:rsid w:val="00843FBB"/>
    <w:rPr>
      <w:rFonts w:ascii="Arial" w:hAnsi="Arial"/>
      <w:szCs w:val="24"/>
      <w:lang w:eastAsia="ja-JP"/>
    </w:rPr>
  </w:style>
  <w:style w:type="character" w:styleId="PlaceholderText">
    <w:name w:val="Placeholder Text"/>
    <w:basedOn w:val="DefaultParagraphFont"/>
    <w:uiPriority w:val="99"/>
    <w:semiHidden/>
    <w:rsid w:val="00724A56"/>
    <w:rPr>
      <w:color w:val="808080"/>
    </w:rPr>
  </w:style>
  <w:style w:type="paragraph" w:styleId="ListParagraph">
    <w:name w:val="List Paragraph"/>
    <w:basedOn w:val="Normal"/>
    <w:uiPriority w:val="34"/>
    <w:qFormat/>
    <w:rsid w:val="008E4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6F1"/>
    <w:rPr>
      <w:rFonts w:ascii="Arial" w:hAnsi="Arial"/>
      <w:szCs w:val="24"/>
      <w:lang w:eastAsia="ja-JP"/>
    </w:rPr>
  </w:style>
  <w:style w:type="paragraph" w:styleId="Heading2">
    <w:name w:val="heading 2"/>
    <w:basedOn w:val="Normal"/>
    <w:next w:val="Normal"/>
    <w:qFormat/>
    <w:rsid w:val="00C05627"/>
    <w:pPr>
      <w:keepNext/>
      <w:spacing w:before="240" w:after="60"/>
      <w:outlineLvl w:val="1"/>
    </w:pPr>
    <w:rPr>
      <w:rFonts w:cs="Arial"/>
      <w:b/>
      <w:bCs/>
      <w:i/>
      <w:iCs/>
      <w:sz w:val="28"/>
      <w:szCs w:val="28"/>
    </w:rPr>
  </w:style>
  <w:style w:type="paragraph" w:styleId="Heading3">
    <w:name w:val="heading 3"/>
    <w:basedOn w:val="Normal"/>
    <w:next w:val="Normal"/>
    <w:qFormat/>
    <w:rsid w:val="00C0562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3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7385E"/>
    <w:rPr>
      <w:color w:val="0000FF"/>
      <w:u w:val="single"/>
    </w:rPr>
  </w:style>
  <w:style w:type="paragraph" w:styleId="BalloonText">
    <w:name w:val="Balloon Text"/>
    <w:basedOn w:val="Normal"/>
    <w:semiHidden/>
    <w:rsid w:val="00811D80"/>
    <w:rPr>
      <w:rFonts w:ascii="Tahoma" w:hAnsi="Tahoma" w:cs="Tahoma"/>
      <w:sz w:val="16"/>
      <w:szCs w:val="16"/>
    </w:rPr>
  </w:style>
  <w:style w:type="paragraph" w:styleId="Header">
    <w:name w:val="header"/>
    <w:basedOn w:val="Normal"/>
    <w:rsid w:val="006E7498"/>
    <w:pPr>
      <w:tabs>
        <w:tab w:val="center" w:pos="4153"/>
        <w:tab w:val="right" w:pos="8306"/>
      </w:tabs>
    </w:pPr>
  </w:style>
  <w:style w:type="paragraph" w:styleId="Footer">
    <w:name w:val="footer"/>
    <w:basedOn w:val="Normal"/>
    <w:rsid w:val="006E7498"/>
    <w:pPr>
      <w:tabs>
        <w:tab w:val="center" w:pos="4153"/>
        <w:tab w:val="right" w:pos="8306"/>
      </w:tabs>
    </w:pPr>
  </w:style>
  <w:style w:type="character" w:styleId="PageNumber">
    <w:name w:val="page number"/>
    <w:basedOn w:val="DefaultParagraphFont"/>
    <w:rsid w:val="00B261F0"/>
  </w:style>
  <w:style w:type="paragraph" w:styleId="Revision">
    <w:name w:val="Revision"/>
    <w:hidden/>
    <w:uiPriority w:val="99"/>
    <w:semiHidden/>
    <w:rsid w:val="00843FBB"/>
    <w:rPr>
      <w:rFonts w:ascii="Arial" w:hAnsi="Arial"/>
      <w:szCs w:val="24"/>
      <w:lang w:eastAsia="ja-JP"/>
    </w:rPr>
  </w:style>
  <w:style w:type="character" w:styleId="PlaceholderText">
    <w:name w:val="Placeholder Text"/>
    <w:basedOn w:val="DefaultParagraphFont"/>
    <w:uiPriority w:val="99"/>
    <w:semiHidden/>
    <w:rsid w:val="00724A56"/>
    <w:rPr>
      <w:color w:val="808080"/>
    </w:rPr>
  </w:style>
  <w:style w:type="paragraph" w:styleId="ListParagraph">
    <w:name w:val="List Paragraph"/>
    <w:basedOn w:val="Normal"/>
    <w:uiPriority w:val="34"/>
    <w:qFormat/>
    <w:rsid w:val="008E4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etworkdesign@nationalgrid.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C546245C19B4EB5AA87F067E2B173" ma:contentTypeVersion="0" ma:contentTypeDescription="Create a new document." ma:contentTypeScope="" ma:versionID="3de809e86ea4af16366f0e38505ada2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36AB8-6A8A-4E2C-AF90-184155A6B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A5728BD-C771-47B2-AF86-AF615FA61E34}">
  <ds:schemaRefs>
    <ds:schemaRef ds:uri="http://schemas.microsoft.com/office/2006/metadata/properties"/>
  </ds:schemaRefs>
</ds:datastoreItem>
</file>

<file path=customXml/itemProps3.xml><?xml version="1.0" encoding="utf-8"?>
<ds:datastoreItem xmlns:ds="http://schemas.openxmlformats.org/officeDocument/2006/customXml" ds:itemID="{739B7792-E5C8-4FF1-99C6-BCEE1E7C3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Consultation on revision to the standard administration charges for GIRS Registered &amp; iGT Organisations</vt:lpstr>
    </vt:vector>
  </TitlesOfParts>
  <Company>National Grid</Company>
  <LinksUpToDate>false</LinksUpToDate>
  <CharactersWithSpaces>9492</CharactersWithSpaces>
  <SharedDoc>false</SharedDoc>
  <HLinks>
    <vt:vector size="6" baseType="variant">
      <vt:variant>
        <vt:i4>4522085</vt:i4>
      </vt:variant>
      <vt:variant>
        <vt:i4>0</vt:i4>
      </vt:variant>
      <vt:variant>
        <vt:i4>0</vt:i4>
      </vt:variant>
      <vt:variant>
        <vt:i4>5</vt:i4>
      </vt:variant>
      <vt:variant>
        <vt:lpwstr>mailto:networkdesign@nationalgrid.com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revision to the standard administration charges for GIRS Registered &amp; iGT Organisations</dc:title>
  <dc:creator>Grahame.Neale</dc:creator>
  <cp:lastModifiedBy>National Grid</cp:lastModifiedBy>
  <cp:revision>2</cp:revision>
  <cp:lastPrinted>2015-08-05T11:25:00Z</cp:lastPrinted>
  <dcterms:created xsi:type="dcterms:W3CDTF">2015-09-11T13:45:00Z</dcterms:created>
  <dcterms:modified xsi:type="dcterms:W3CDTF">2015-09-11T13:45:00Z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0x0101003F1C546245C19B4EB5AA87F067E2B173</vt:lpwstr>
  </property>
</Properties>
</file>